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315" w:rsidRPr="00813315" w:rsidRDefault="00813315" w:rsidP="00813315">
      <w:pPr>
        <w:spacing w:line="440" w:lineRule="exact"/>
        <w:rPr>
          <w:rFonts w:eastAsia="方正黑体_GBK"/>
          <w:color w:val="000000"/>
          <w:sz w:val="30"/>
          <w:szCs w:val="30"/>
        </w:rPr>
      </w:pPr>
      <w:r w:rsidRPr="00813315">
        <w:rPr>
          <w:rFonts w:eastAsia="方正黑体_GBK" w:hint="eastAsia"/>
          <w:color w:val="000000"/>
          <w:sz w:val="30"/>
          <w:szCs w:val="30"/>
        </w:rPr>
        <w:t>区十八届人大常委会</w:t>
      </w:r>
    </w:p>
    <w:p w:rsidR="00813315" w:rsidRPr="00273D40" w:rsidRDefault="00813315" w:rsidP="00813315">
      <w:pPr>
        <w:spacing w:line="440" w:lineRule="exact"/>
        <w:rPr>
          <w:rFonts w:eastAsia="方正黑体_GBK"/>
          <w:color w:val="000000"/>
          <w:spacing w:val="-10"/>
          <w:sz w:val="30"/>
          <w:szCs w:val="30"/>
        </w:rPr>
      </w:pPr>
      <w:r w:rsidRPr="00273D40">
        <w:rPr>
          <w:rFonts w:eastAsia="方正黑体_GBK" w:hint="eastAsia"/>
          <w:color w:val="000000"/>
          <w:spacing w:val="-10"/>
          <w:sz w:val="30"/>
          <w:szCs w:val="30"/>
        </w:rPr>
        <w:t>第</w:t>
      </w:r>
      <w:r w:rsidR="00246178">
        <w:rPr>
          <w:rFonts w:ascii="Times New Roman" w:eastAsia="方正黑体_GBK" w:hAnsi="Times New Roman" w:cs="Times New Roman" w:hint="eastAsia"/>
          <w:color w:val="000000"/>
          <w:spacing w:val="-10"/>
          <w:sz w:val="30"/>
          <w:szCs w:val="30"/>
        </w:rPr>
        <w:t>63</w:t>
      </w:r>
      <w:r w:rsidRPr="00273D40">
        <w:rPr>
          <w:rFonts w:eastAsia="方正黑体_GBK" w:hint="eastAsia"/>
          <w:color w:val="000000"/>
          <w:spacing w:val="-10"/>
          <w:sz w:val="30"/>
          <w:szCs w:val="30"/>
        </w:rPr>
        <w:t>次</w:t>
      </w:r>
      <w:r w:rsidRPr="00273D40">
        <w:rPr>
          <w:rFonts w:eastAsia="方正黑体_GBK" w:hint="eastAsia"/>
          <w:color w:val="000000"/>
          <w:spacing w:val="-9"/>
          <w:sz w:val="30"/>
          <w:szCs w:val="30"/>
        </w:rPr>
        <w:t>主任会议材</w:t>
      </w:r>
      <w:r w:rsidRPr="00273D40">
        <w:rPr>
          <w:rFonts w:eastAsia="方正黑体_GBK" w:hint="eastAsia"/>
          <w:color w:val="000000"/>
          <w:spacing w:val="-10"/>
          <w:sz w:val="30"/>
          <w:szCs w:val="30"/>
        </w:rPr>
        <w:t>料</w:t>
      </w:r>
    </w:p>
    <w:p w:rsidR="00813315" w:rsidRPr="00813315" w:rsidRDefault="00813315" w:rsidP="00813315">
      <w:pPr>
        <w:spacing w:line="600" w:lineRule="exact"/>
        <w:rPr>
          <w:rFonts w:ascii="Times New Roman" w:eastAsia="方正小标宋_GBK" w:hAnsi="Times New Roman" w:cs="Times New Roman"/>
          <w:sz w:val="32"/>
          <w:szCs w:val="32"/>
        </w:rPr>
      </w:pPr>
    </w:p>
    <w:p w:rsidR="00000000" w:rsidRDefault="00162A17">
      <w:pPr>
        <w:spacing w:line="700" w:lineRule="exact"/>
        <w:jc w:val="center"/>
        <w:rPr>
          <w:rFonts w:ascii="Times New Roman" w:eastAsia="方正小标宋_GBK" w:hAnsi="Times New Roman"/>
          <w:sz w:val="44"/>
          <w:szCs w:val="44"/>
        </w:rPr>
      </w:pPr>
      <w:r>
        <w:rPr>
          <w:rFonts w:ascii="Times New Roman" w:eastAsia="方正小标宋_GBK" w:hAnsi="Times New Roman" w:hint="eastAsia"/>
          <w:sz w:val="44"/>
          <w:szCs w:val="44"/>
        </w:rPr>
        <w:t>关于民事行政检察工作情况的报告</w:t>
      </w:r>
    </w:p>
    <w:p w:rsidR="00000000" w:rsidRDefault="00162A17" w:rsidP="004908ED">
      <w:pPr>
        <w:spacing w:beforeLines="30" w:line="700" w:lineRule="exact"/>
        <w:jc w:val="center"/>
        <w:rPr>
          <w:rFonts w:ascii="Times New Roman" w:eastAsia="方正楷体_GBK" w:hAnsi="Times New Roman"/>
          <w:sz w:val="32"/>
          <w:szCs w:val="32"/>
        </w:rPr>
      </w:pPr>
      <w:r>
        <w:rPr>
          <w:rFonts w:ascii="Times New Roman" w:eastAsia="方正楷体_GBK" w:hAnsi="Times New Roman"/>
          <w:color w:val="000000"/>
          <w:sz w:val="32"/>
          <w:szCs w:val="32"/>
        </w:rPr>
        <w:t>（</w:t>
      </w:r>
      <w:r>
        <w:rPr>
          <w:rFonts w:ascii="Times New Roman" w:eastAsia="方正楷体_GBK" w:hAnsi="Times New Roman"/>
          <w:color w:val="000000"/>
          <w:sz w:val="32"/>
          <w:szCs w:val="32"/>
        </w:rPr>
        <w:t>202</w:t>
      </w:r>
      <w:r>
        <w:rPr>
          <w:rFonts w:ascii="Times New Roman" w:eastAsia="方正楷体_GBK" w:hAnsi="Times New Roman" w:hint="eastAsia"/>
          <w:color w:val="000000"/>
          <w:sz w:val="32"/>
          <w:szCs w:val="32"/>
        </w:rPr>
        <w:t>1</w:t>
      </w:r>
      <w:r>
        <w:rPr>
          <w:rFonts w:ascii="Times New Roman" w:eastAsia="方正楷体_GBK" w:hAnsi="Times New Roman"/>
          <w:color w:val="000000"/>
          <w:sz w:val="32"/>
          <w:szCs w:val="32"/>
        </w:rPr>
        <w:t>年</w:t>
      </w:r>
      <w:r>
        <w:rPr>
          <w:rFonts w:ascii="Times New Roman" w:eastAsia="方正楷体_GBK" w:hAnsi="Times New Roman" w:hint="eastAsia"/>
          <w:color w:val="000000"/>
          <w:sz w:val="32"/>
          <w:szCs w:val="32"/>
        </w:rPr>
        <w:t>9</w:t>
      </w:r>
      <w:r>
        <w:rPr>
          <w:rFonts w:ascii="Times New Roman" w:eastAsia="方正楷体_GBK" w:hAnsi="Times New Roman"/>
          <w:color w:val="000000"/>
          <w:sz w:val="32"/>
          <w:szCs w:val="32"/>
        </w:rPr>
        <w:t>月</w:t>
      </w:r>
      <w:r>
        <w:rPr>
          <w:rFonts w:ascii="Times New Roman" w:eastAsia="方正楷体_GBK" w:hAnsi="Times New Roman" w:hint="eastAsia"/>
          <w:color w:val="000000"/>
          <w:sz w:val="32"/>
          <w:szCs w:val="32"/>
        </w:rPr>
        <w:t>23</w:t>
      </w:r>
      <w:r>
        <w:rPr>
          <w:rFonts w:ascii="Times New Roman" w:eastAsia="方正楷体_GBK" w:hAnsi="Times New Roman"/>
          <w:color w:val="000000"/>
          <w:sz w:val="32"/>
          <w:szCs w:val="32"/>
        </w:rPr>
        <w:t>日）</w:t>
      </w:r>
    </w:p>
    <w:p w:rsidR="00000000" w:rsidRDefault="00162A17" w:rsidP="004908ED">
      <w:pPr>
        <w:spacing w:beforeLines="10" w:line="700" w:lineRule="exact"/>
        <w:jc w:val="center"/>
        <w:rPr>
          <w:rFonts w:ascii="Times New Roman" w:eastAsia="方正楷体_GBK" w:hAnsi="Times New Roman"/>
          <w:color w:val="000000"/>
          <w:sz w:val="32"/>
          <w:szCs w:val="32"/>
        </w:rPr>
      </w:pPr>
      <w:r>
        <w:rPr>
          <w:rFonts w:ascii="Times New Roman" w:eastAsia="方正楷体_GBK" w:hAnsi="Times New Roman"/>
          <w:color w:val="000000"/>
          <w:sz w:val="32"/>
          <w:szCs w:val="32"/>
        </w:rPr>
        <w:t>倪一斌</w:t>
      </w:r>
    </w:p>
    <w:p w:rsidR="00162A17" w:rsidRDefault="00162A17" w:rsidP="00162A17">
      <w:pPr>
        <w:spacing w:line="600" w:lineRule="exact"/>
        <w:rPr>
          <w:rFonts w:ascii="Times New Roman" w:eastAsia="方正仿宋_GBK" w:hAnsi="Times New Roman"/>
          <w:color w:val="000000"/>
          <w:sz w:val="32"/>
          <w:szCs w:val="32"/>
        </w:rPr>
      </w:pPr>
    </w:p>
    <w:p w:rsidR="00000000" w:rsidRDefault="00162A17">
      <w:pPr>
        <w:spacing w:line="600" w:lineRule="exact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rFonts w:ascii="Times New Roman" w:eastAsia="方正仿宋_GBK" w:hAnsi="Times New Roman"/>
          <w:color w:val="000000"/>
          <w:sz w:val="32"/>
          <w:szCs w:val="32"/>
        </w:rPr>
        <w:t>主任、</w:t>
      </w:r>
      <w:r w:rsidR="00AE0C9C">
        <w:rPr>
          <w:rFonts w:ascii="Times New Roman" w:eastAsia="方正仿宋_GBK" w:hAnsi="Times New Roman" w:hint="eastAsia"/>
          <w:color w:val="000000"/>
          <w:sz w:val="32"/>
          <w:szCs w:val="32"/>
        </w:rPr>
        <w:t>书记，</w:t>
      </w:r>
      <w:r>
        <w:rPr>
          <w:rFonts w:ascii="Times New Roman" w:eastAsia="方正仿宋_GBK" w:hAnsi="Times New Roman"/>
          <w:color w:val="000000"/>
          <w:sz w:val="32"/>
          <w:szCs w:val="32"/>
        </w:rPr>
        <w:t>各位副主任：</w:t>
      </w:r>
    </w:p>
    <w:p w:rsidR="00000000" w:rsidRDefault="00162A17">
      <w:pPr>
        <w:spacing w:line="600" w:lineRule="exact"/>
        <w:ind w:firstLineChars="200" w:firstLine="640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rFonts w:ascii="Times New Roman" w:eastAsia="方正仿宋_GBK" w:hAnsi="Times New Roman"/>
          <w:color w:val="000000"/>
          <w:sz w:val="32"/>
          <w:szCs w:val="32"/>
        </w:rPr>
        <w:t>根据区人大常委会年度议题安排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和工作要求</w:t>
      </w:r>
      <w:r>
        <w:rPr>
          <w:rFonts w:ascii="Times New Roman" w:eastAsia="方正仿宋_GBK" w:hAnsi="Times New Roman"/>
          <w:color w:val="000000"/>
          <w:sz w:val="32"/>
          <w:szCs w:val="32"/>
        </w:rPr>
        <w:t>，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下面</w:t>
      </w:r>
      <w:r>
        <w:rPr>
          <w:rFonts w:ascii="Times New Roman" w:eastAsia="方正仿宋_GBK" w:hAnsi="Times New Roman"/>
          <w:color w:val="000000"/>
          <w:sz w:val="32"/>
          <w:szCs w:val="32"/>
        </w:rPr>
        <w:t>我代表区检察院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汇报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2018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年以来的民事行政检察</w:t>
      </w:r>
      <w:r>
        <w:rPr>
          <w:rFonts w:ascii="Times New Roman" w:eastAsia="方正仿宋_GBK" w:hAnsi="Times New Roman"/>
          <w:color w:val="000000"/>
          <w:sz w:val="32"/>
          <w:szCs w:val="32"/>
        </w:rPr>
        <w:t>工作情况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。</w:t>
      </w:r>
    </w:p>
    <w:p w:rsidR="00000000" w:rsidRDefault="00162A17">
      <w:pPr>
        <w:spacing w:line="600" w:lineRule="exact"/>
        <w:ind w:firstLineChars="200" w:firstLine="640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按照最高检推动“四大检察”全面协调充分发展的总要求，我院依法充分履行法律监督职责，做强民事检察，做实行政检察，努力维护司法公平正义，促进社会治理能力提升，服务保障优化营商环境，逐步形成多元监督、专业发展的民行检察工作格局。</w:t>
      </w:r>
      <w:r>
        <w:rPr>
          <w:rFonts w:ascii="Times New Roman" w:eastAsia="方正仿宋_GBK" w:hAnsi="Times New Roman"/>
          <w:color w:val="000000"/>
          <w:sz w:val="32"/>
          <w:szCs w:val="32"/>
        </w:rPr>
        <w:t>201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8</w:t>
      </w:r>
      <w:r>
        <w:rPr>
          <w:rFonts w:ascii="Times New Roman" w:eastAsia="方正仿宋_GBK" w:hAnsi="Times New Roman"/>
          <w:color w:val="000000"/>
          <w:sz w:val="32"/>
          <w:szCs w:val="32"/>
        </w:rPr>
        <w:t>年以来，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受理审查民事行政案件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402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件，提出各类检察建议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185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件，支持弱势群体起诉维权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188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件，办案绩效总体位居全市条线前列</w:t>
      </w:r>
      <w:r>
        <w:rPr>
          <w:rFonts w:ascii="Times New Roman" w:eastAsia="方正仿宋_GBK" w:hAnsi="Times New Roman"/>
          <w:color w:val="000000"/>
          <w:sz w:val="32"/>
          <w:szCs w:val="32"/>
        </w:rPr>
        <w:t>。</w:t>
      </w:r>
      <w:r>
        <w:rPr>
          <w:rFonts w:ascii="Times New Roman" w:eastAsia="仿宋_GB2312" w:hAnsi="Times New Roman"/>
          <w:color w:val="000000"/>
          <w:sz w:val="32"/>
          <w:szCs w:val="32"/>
        </w:rPr>
        <w:t xml:space="preserve">  </w:t>
      </w:r>
    </w:p>
    <w:p w:rsidR="00000000" w:rsidRDefault="00162A17">
      <w:pPr>
        <w:spacing w:line="600" w:lineRule="exact"/>
        <w:ind w:firstLineChars="200" w:firstLine="640"/>
        <w:rPr>
          <w:rFonts w:ascii="Times New Roman" w:eastAsia="方正黑体_GBK" w:hAnsi="Times New Roman"/>
          <w:color w:val="000000"/>
          <w:sz w:val="32"/>
          <w:szCs w:val="32"/>
        </w:rPr>
      </w:pPr>
      <w:r>
        <w:rPr>
          <w:rFonts w:ascii="Times New Roman" w:eastAsia="方正黑体_GBK" w:hAnsi="Times New Roman"/>
          <w:color w:val="000000"/>
          <w:sz w:val="32"/>
          <w:szCs w:val="32"/>
        </w:rPr>
        <w:t>一、</w:t>
      </w:r>
      <w:r>
        <w:rPr>
          <w:rFonts w:ascii="Times New Roman" w:eastAsia="方正黑体_GBK" w:hAnsi="Times New Roman" w:hint="eastAsia"/>
          <w:color w:val="000000"/>
          <w:sz w:val="32"/>
          <w:szCs w:val="32"/>
        </w:rPr>
        <w:t>民事行政检察</w:t>
      </w:r>
      <w:r>
        <w:rPr>
          <w:rFonts w:ascii="Times New Roman" w:eastAsia="方正黑体_GBK" w:hAnsi="Times New Roman"/>
          <w:color w:val="000000"/>
          <w:sz w:val="32"/>
          <w:szCs w:val="32"/>
        </w:rPr>
        <w:t>工作基本情况</w:t>
      </w:r>
    </w:p>
    <w:p w:rsidR="00162A17" w:rsidRPr="009B423B" w:rsidRDefault="00162A17" w:rsidP="00AE0C9C">
      <w:pPr>
        <w:spacing w:line="600" w:lineRule="exact"/>
        <w:ind w:firstLineChars="200" w:firstLine="640"/>
        <w:rPr>
          <w:rFonts w:ascii="方正楷体_GBK" w:eastAsia="方正楷体_GBK" w:hAnsi="Times New Roman"/>
          <w:sz w:val="32"/>
          <w:szCs w:val="32"/>
        </w:rPr>
      </w:pPr>
      <w:r w:rsidRPr="0005112B">
        <w:rPr>
          <w:rFonts w:ascii="方正楷体_GBK" w:eastAsia="方正楷体_GBK" w:hAnsi="Times New Roman" w:hint="eastAsia"/>
          <w:sz w:val="32"/>
          <w:szCs w:val="32"/>
        </w:rPr>
        <w:t>（一）强化民事诉讼精准监督，有力维护司法公正</w:t>
      </w:r>
    </w:p>
    <w:p w:rsidR="00000000" w:rsidRDefault="00162A17">
      <w:pPr>
        <w:spacing w:line="600" w:lineRule="exact"/>
        <w:ind w:firstLineChars="200" w:firstLine="640"/>
        <w:rPr>
          <w:rFonts w:ascii="方正仿宋_GBK" w:eastAsia="方正仿宋_GBK" w:hAnsi="Times New Roman"/>
          <w:color w:val="000000"/>
          <w:sz w:val="32"/>
          <w:szCs w:val="32"/>
        </w:rPr>
      </w:pPr>
      <w:r w:rsidRPr="00B7754F">
        <w:rPr>
          <w:rFonts w:ascii="方正仿宋_GBK" w:eastAsia="方正仿宋_GBK" w:hAnsi="Times New Roman" w:hint="eastAsia"/>
          <w:sz w:val="32"/>
          <w:szCs w:val="32"/>
        </w:rPr>
        <w:t>紧抓民事诉讼监督主责主业，加大司法办案</w:t>
      </w:r>
      <w:r>
        <w:rPr>
          <w:rFonts w:ascii="方正仿宋_GBK" w:eastAsia="方正仿宋_GBK" w:hAnsi="Times New Roman" w:hint="eastAsia"/>
          <w:sz w:val="32"/>
          <w:szCs w:val="32"/>
        </w:rPr>
        <w:t>力度，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积极开展涉案矛盾纠纷化解，切实维护当事人合法权益，保障国家法律的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lastRenderedPageBreak/>
        <w:t>统一正确实施。</w:t>
      </w:r>
      <w:r w:rsidRPr="00B7754F">
        <w:rPr>
          <w:rFonts w:ascii="方正仿宋_GBK" w:eastAsia="方正仿宋_GBK" w:hAnsi="Times New Roman" w:hint="eastAsia"/>
          <w:b/>
          <w:sz w:val="32"/>
          <w:szCs w:val="32"/>
        </w:rPr>
        <w:t>一是强化对生效裁判和调解书的监督。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通过线上线下受理案件，畅通申请监督渠道，保障当事人寻求检察救济的权利。坚持案件全面审查原则，运用调查核实权查清事实、分清是非，厘清当事人争议问题。全面推行</w:t>
      </w:r>
      <w:r>
        <w:rPr>
          <w:rFonts w:ascii="方正仿宋_GBK" w:eastAsia="方正仿宋_GBK" w:hAnsi="Times New Roman" w:hint="eastAsia"/>
          <w:sz w:val="32"/>
          <w:szCs w:val="32"/>
        </w:rPr>
        <w:t>申请监督案件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公开听证制度，办案过程更加公开透明，</w:t>
      </w:r>
      <w:r>
        <w:rPr>
          <w:rFonts w:ascii="方正仿宋_GBK" w:eastAsia="方正仿宋_GBK" w:hAnsi="Times New Roman" w:hint="eastAsia"/>
          <w:sz w:val="32"/>
          <w:szCs w:val="32"/>
        </w:rPr>
        <w:t>开展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民事案件</w:t>
      </w:r>
      <w:r>
        <w:rPr>
          <w:rFonts w:ascii="方正仿宋_GBK" w:eastAsia="方正仿宋_GBK" w:hAnsi="Times New Roman" w:hint="eastAsia"/>
          <w:sz w:val="32"/>
          <w:szCs w:val="32"/>
        </w:rPr>
        <w:t>公开</w:t>
      </w:r>
      <w:r w:rsidRPr="0005112B">
        <w:rPr>
          <w:rFonts w:ascii="Times New Roman" w:eastAsia="方正仿宋_GBK" w:hAnsi="Times New Roman" w:hint="eastAsia"/>
          <w:sz w:val="32"/>
          <w:szCs w:val="32"/>
        </w:rPr>
        <w:t>听证</w:t>
      </w:r>
      <w:r w:rsidRPr="0005112B"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 w:hint="eastAsia"/>
          <w:sz w:val="32"/>
          <w:szCs w:val="32"/>
        </w:rPr>
        <w:t>3</w:t>
      </w:r>
      <w:r w:rsidRPr="0005112B">
        <w:rPr>
          <w:rFonts w:ascii="Times New Roman" w:eastAsia="方正仿宋_GBK" w:hAnsi="Times New Roman" w:hint="eastAsia"/>
          <w:sz w:val="32"/>
          <w:szCs w:val="32"/>
        </w:rPr>
        <w:t>件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。准确把握生效裁判和调解书的监督条件，统一监督标准和法律适用，依法建议法院启动再审程序、纠正错误裁判。按照监督与支持并重的理念，维护正确裁判的法律效力，做好当事人息诉服判工作，协同政法委、区法院共同开展涉诉纠纷化解，努力做到案结事了人和。</w:t>
      </w:r>
      <w:r w:rsidRPr="00B7754F">
        <w:rPr>
          <w:rFonts w:ascii="Times New Roman" w:eastAsia="方正仿宋_GBK" w:hAnsi="Times New Roman"/>
          <w:sz w:val="32"/>
          <w:szCs w:val="32"/>
        </w:rPr>
        <w:t>2018</w:t>
      </w:r>
      <w:r w:rsidRPr="0005112B">
        <w:rPr>
          <w:rFonts w:ascii="Times New Roman" w:eastAsia="方正仿宋_GBK" w:hAnsi="Times New Roman" w:hint="eastAsia"/>
          <w:sz w:val="32"/>
          <w:szCs w:val="32"/>
        </w:rPr>
        <w:t>年来，共发出再审检察建议</w:t>
      </w:r>
      <w:r w:rsidRPr="0005112B">
        <w:rPr>
          <w:rFonts w:ascii="Times New Roman" w:eastAsia="方正仿宋_GBK" w:hAnsi="Times New Roman"/>
          <w:sz w:val="32"/>
          <w:szCs w:val="32"/>
        </w:rPr>
        <w:t>32</w:t>
      </w:r>
      <w:r w:rsidRPr="0005112B">
        <w:rPr>
          <w:rFonts w:ascii="Times New Roman" w:eastAsia="方正仿宋_GBK" w:hAnsi="Times New Roman" w:hint="eastAsia"/>
          <w:sz w:val="32"/>
          <w:szCs w:val="32"/>
        </w:rPr>
        <w:t>件，促成当事人达成和解协议</w:t>
      </w:r>
      <w:r w:rsidRPr="0005112B">
        <w:rPr>
          <w:rFonts w:ascii="Times New Roman" w:eastAsia="方正仿宋_GBK" w:hAnsi="Times New Roman"/>
          <w:sz w:val="32"/>
          <w:szCs w:val="32"/>
        </w:rPr>
        <w:t>3</w:t>
      </w:r>
      <w:r w:rsidRPr="0005112B">
        <w:rPr>
          <w:rFonts w:ascii="Times New Roman" w:eastAsia="方正仿宋_GBK" w:hAnsi="Times New Roman" w:hint="eastAsia"/>
          <w:sz w:val="32"/>
          <w:szCs w:val="32"/>
        </w:rPr>
        <w:t>件，息诉</w:t>
      </w:r>
      <w:r w:rsidRPr="0005112B">
        <w:rPr>
          <w:rFonts w:ascii="Times New Roman" w:eastAsia="方正仿宋_GBK" w:hAnsi="Times New Roman"/>
          <w:sz w:val="32"/>
          <w:szCs w:val="32"/>
        </w:rPr>
        <w:t>19</w:t>
      </w:r>
      <w:r w:rsidRPr="0005112B">
        <w:rPr>
          <w:rFonts w:ascii="Times New Roman" w:eastAsia="方正仿宋_GBK" w:hAnsi="Times New Roman" w:hint="eastAsia"/>
          <w:sz w:val="32"/>
          <w:szCs w:val="32"/>
        </w:rPr>
        <w:t>件。</w:t>
      </w:r>
      <w:r w:rsidRPr="00B7754F">
        <w:rPr>
          <w:rFonts w:ascii="方正仿宋_GBK" w:eastAsia="方正仿宋_GBK" w:hAnsi="Times New Roman" w:hint="eastAsia"/>
          <w:b/>
          <w:sz w:val="32"/>
          <w:szCs w:val="32"/>
        </w:rPr>
        <w:t>二是强化对审判程序和执行活动的监督。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充分运用依申请和依职权两个渠道，推动民事监督多元化发展，把诉讼程序监督和结果监督相结合、审判活动监督和执行活动监督相结合，实现检察监督覆盖诉讼全过程。结合上级院部署，</w:t>
      </w:r>
      <w:r>
        <w:rPr>
          <w:rFonts w:ascii="方正仿宋_GBK" w:eastAsia="方正仿宋_GBK" w:hAnsi="Times New Roman" w:hint="eastAsia"/>
          <w:sz w:val="32"/>
          <w:szCs w:val="32"/>
        </w:rPr>
        <w:t>组织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开展审判程序和执行监督小专项活动，确定重点监督领域和对象，调卷排查线索，对发现的审判活动中保全、送达程序违法等情形，以及执行活动中强制措施、执行结案不规范情形，依法实施检察监督。</w:t>
      </w:r>
      <w:r w:rsidRPr="00B7754F">
        <w:rPr>
          <w:rFonts w:ascii="方正仿宋_GBK" w:eastAsia="方正仿宋_GBK" w:hAnsi="Times New Roman" w:hint="eastAsia"/>
          <w:b/>
          <w:sz w:val="32"/>
          <w:szCs w:val="32"/>
        </w:rPr>
        <w:t>三是强化对虚假诉讼行为的查处和惩治。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加强与公安、法院等相关部门之间的协作</w:t>
      </w:r>
      <w:r>
        <w:rPr>
          <w:rFonts w:ascii="方正仿宋_GBK" w:eastAsia="方正仿宋_GBK" w:hAnsi="Times New Roman" w:hint="eastAsia"/>
          <w:sz w:val="32"/>
          <w:szCs w:val="32"/>
        </w:rPr>
        <w:t>配合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，</w:t>
      </w:r>
      <w:r>
        <w:rPr>
          <w:rFonts w:ascii="方正仿宋_GBK" w:eastAsia="方正仿宋_GBK" w:hAnsi="Times New Roman" w:hint="eastAsia"/>
          <w:sz w:val="32"/>
          <w:szCs w:val="32"/>
        </w:rPr>
        <w:t>强化对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民间借贷等</w:t>
      </w:r>
      <w:r>
        <w:rPr>
          <w:rFonts w:ascii="方正仿宋_GBK" w:eastAsia="方正仿宋_GBK" w:hAnsi="Times New Roman" w:hint="eastAsia"/>
          <w:sz w:val="32"/>
          <w:szCs w:val="32"/>
        </w:rPr>
        <w:t>重点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领域</w:t>
      </w:r>
      <w:r>
        <w:rPr>
          <w:rFonts w:ascii="方正仿宋_GBK" w:eastAsia="方正仿宋_GBK" w:hAnsi="Times New Roman" w:hint="eastAsia"/>
          <w:sz w:val="32"/>
          <w:szCs w:val="32"/>
        </w:rPr>
        <w:t>虚假诉讼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违法行为的打击力度，提高虚假诉讼监督质效，维护正常的民事诉讼秩序。针对职业放贷人一定时期内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lastRenderedPageBreak/>
        <w:t>多次起诉等涉嫌</w:t>
      </w:r>
      <w:r>
        <w:rPr>
          <w:rFonts w:ascii="方正仿宋_GBK" w:eastAsia="方正仿宋_GBK" w:hAnsi="Times New Roman" w:hint="eastAsia"/>
          <w:sz w:val="32"/>
          <w:szCs w:val="32"/>
        </w:rPr>
        <w:t>虚假诉讼线索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，开展专项监督活动，</w:t>
      </w:r>
      <w:r>
        <w:rPr>
          <w:rFonts w:ascii="方正仿宋_GBK" w:eastAsia="方正仿宋_GBK" w:hAnsi="Times New Roman" w:hint="eastAsia"/>
          <w:sz w:val="32"/>
          <w:szCs w:val="32"/>
        </w:rPr>
        <w:t>深挖彻查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“套路贷”</w:t>
      </w:r>
      <w:r>
        <w:rPr>
          <w:rFonts w:ascii="方正仿宋_GBK" w:eastAsia="方正仿宋_GBK" w:hAnsi="Times New Roman" w:hint="eastAsia"/>
          <w:sz w:val="32"/>
          <w:szCs w:val="32"/>
        </w:rPr>
        <w:t>违法犯罪行为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。</w:t>
      </w:r>
      <w:r w:rsidRPr="00B7754F">
        <w:rPr>
          <w:rFonts w:ascii="Times New Roman" w:eastAsia="方正仿宋_GBK" w:hAnsi="Times New Roman" w:hint="eastAsia"/>
          <w:sz w:val="32"/>
          <w:szCs w:val="32"/>
        </w:rPr>
        <w:t>2018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年来，共监督各类虚假</w:t>
      </w:r>
      <w:r w:rsidRPr="0005112B">
        <w:rPr>
          <w:rFonts w:ascii="Times New Roman" w:eastAsia="方正仿宋_GBK" w:hAnsi="Times New Roman" w:hint="eastAsia"/>
          <w:sz w:val="32"/>
          <w:szCs w:val="32"/>
        </w:rPr>
        <w:t>诉讼案件</w:t>
      </w:r>
      <w:r w:rsidRPr="0005112B">
        <w:rPr>
          <w:rFonts w:ascii="Times New Roman" w:eastAsia="方正仿宋_GBK" w:hAnsi="Times New Roman"/>
          <w:sz w:val="32"/>
          <w:szCs w:val="32"/>
        </w:rPr>
        <w:t>28</w:t>
      </w:r>
      <w:r w:rsidRPr="0005112B">
        <w:rPr>
          <w:rFonts w:ascii="Times New Roman" w:eastAsia="方正仿宋_GBK" w:hAnsi="Times New Roman" w:hint="eastAsia"/>
          <w:sz w:val="32"/>
          <w:szCs w:val="32"/>
        </w:rPr>
        <w:t>件，涉案金额达</w:t>
      </w:r>
      <w:r w:rsidRPr="0005112B">
        <w:rPr>
          <w:rFonts w:ascii="Times New Roman" w:eastAsia="方正仿宋_GBK" w:hAnsi="Times New Roman"/>
          <w:sz w:val="32"/>
          <w:szCs w:val="32"/>
        </w:rPr>
        <w:t>2923</w:t>
      </w:r>
      <w:r w:rsidRPr="0005112B">
        <w:rPr>
          <w:rFonts w:ascii="Times New Roman" w:eastAsia="方正仿宋_GBK" w:hAnsi="Times New Roman" w:hint="eastAsia"/>
          <w:sz w:val="32"/>
          <w:szCs w:val="32"/>
        </w:rPr>
        <w:t>万元，移送刑事犯罪线索</w:t>
      </w:r>
      <w:r>
        <w:rPr>
          <w:rFonts w:ascii="Times New Roman" w:eastAsia="方正仿宋_GBK" w:hAnsi="Times New Roman" w:hint="eastAsia"/>
          <w:sz w:val="32"/>
          <w:szCs w:val="32"/>
        </w:rPr>
        <w:t>3</w:t>
      </w:r>
      <w:r w:rsidRPr="0005112B">
        <w:rPr>
          <w:rFonts w:ascii="Times New Roman" w:eastAsia="方正仿宋_GBK" w:hAnsi="Times New Roman" w:hint="eastAsia"/>
          <w:sz w:val="32"/>
          <w:szCs w:val="32"/>
        </w:rPr>
        <w:t>件。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如</w:t>
      </w:r>
      <w:r>
        <w:rPr>
          <w:rFonts w:ascii="方正仿宋_GBK" w:eastAsia="方正仿宋_GBK" w:hAnsi="Times New Roman" w:hint="eastAsia"/>
          <w:sz w:val="32"/>
          <w:szCs w:val="32"/>
        </w:rPr>
        <w:t>提出再审检察建议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的孔某与武某、某海运公司民间借贷纠纷虚假诉讼案，案值</w:t>
      </w:r>
      <w:r w:rsidRPr="00B7754F">
        <w:rPr>
          <w:rFonts w:ascii="Times New Roman" w:eastAsia="方正仿宋_GBK" w:hAnsi="Times New Roman" w:hint="eastAsia"/>
          <w:sz w:val="32"/>
          <w:szCs w:val="32"/>
        </w:rPr>
        <w:t>1400</w:t>
      </w:r>
      <w:r w:rsidRPr="00B7754F">
        <w:rPr>
          <w:rFonts w:ascii="方正仿宋_GBK" w:eastAsia="方正仿宋_GBK" w:hAnsi="Times New Roman" w:hint="eastAsia"/>
          <w:sz w:val="32"/>
          <w:szCs w:val="32"/>
        </w:rPr>
        <w:t>余万元，法院再审裁定驳回孔某的起诉，并移送公安机关处理，后孔某被以寻衅滋事罪追究刑事责任，该案已入选省检察院典型案例。</w:t>
      </w:r>
    </w:p>
    <w:p w:rsidR="00162A17" w:rsidRPr="009B423B" w:rsidRDefault="00162A17" w:rsidP="00AE0C9C">
      <w:pPr>
        <w:spacing w:line="600" w:lineRule="exact"/>
        <w:ind w:firstLineChars="200" w:firstLine="640"/>
        <w:rPr>
          <w:rFonts w:ascii="方正楷体_GBK" w:eastAsia="方正楷体_GBK" w:hAnsi="Times New Roman"/>
          <w:sz w:val="32"/>
          <w:szCs w:val="32"/>
        </w:rPr>
      </w:pPr>
      <w:r w:rsidRPr="0005112B">
        <w:rPr>
          <w:rFonts w:ascii="方正楷体_GBK" w:eastAsia="方正楷体_GBK" w:hAnsi="Times New Roman" w:hint="eastAsia"/>
          <w:sz w:val="32"/>
          <w:szCs w:val="32"/>
        </w:rPr>
        <w:t>（二）开展行政非诉执行监督，推动行政争议实质化解</w:t>
      </w:r>
    </w:p>
    <w:p w:rsidR="00000000" w:rsidRDefault="00162A17">
      <w:pPr>
        <w:spacing w:line="600" w:lineRule="exact"/>
        <w:ind w:firstLineChars="200" w:firstLine="640"/>
        <w:rPr>
          <w:rFonts w:ascii="方正仿宋_GBK" w:eastAsia="方正仿宋_GBK" w:hAnsi="Times New Roman"/>
          <w:color w:val="000000"/>
          <w:sz w:val="32"/>
          <w:szCs w:val="32"/>
        </w:rPr>
      </w:pP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认真贯彻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最高检“做实行政检察”的工作要求，结合本区行政案件数量、类型等实际情况，探索加强行政非诉执行监督工作，发挥检察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职能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优势推动行政争议实质性化解，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切实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发挥“一手托两家”的作用。</w:t>
      </w:r>
      <w:r w:rsidRPr="00065236">
        <w:rPr>
          <w:rFonts w:ascii="方正仿宋_GBK" w:eastAsia="方正仿宋_GBK" w:hAnsi="Times New Roman" w:hint="eastAsia"/>
          <w:b/>
          <w:color w:val="000000"/>
          <w:sz w:val="32"/>
          <w:szCs w:val="32"/>
        </w:rPr>
        <w:t>一是加大行政非诉执行监督力度。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部署开展为期两年的行政非诉执行监督专项行动，围绕土地执法、生态环境执法等领域行政非诉执行案件，进行调卷审查，发现行政执行活动、行政执法活动中存在的违法问题，及时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审查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办理，通过检察建议督促纠正。共发出行政非诉执行监督检察建议</w:t>
      </w:r>
      <w:r w:rsidRPr="0005112B">
        <w:rPr>
          <w:rFonts w:ascii="Times New Roman" w:eastAsia="方正仿宋_GBK" w:hAnsi="Times New Roman"/>
          <w:color w:val="000000"/>
          <w:sz w:val="32"/>
          <w:szCs w:val="32"/>
        </w:rPr>
        <w:t>6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件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，专项活动成效得到上级院充分肯定。</w:t>
      </w:r>
      <w:r w:rsidRPr="00A35E8C">
        <w:rPr>
          <w:rFonts w:ascii="方正仿宋_GBK" w:eastAsia="方正仿宋_GBK" w:hAnsi="Times New Roman" w:hint="eastAsia"/>
          <w:b/>
          <w:color w:val="000000"/>
          <w:sz w:val="32"/>
          <w:szCs w:val="32"/>
        </w:rPr>
        <w:t>二是加强行政争议实质性化解工作。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按照最高检及省、市院的相关部署，我院探索通过检察介入促进行政争议实质性化解，将行政检察监督与行政争议化解紧密融合、相互促进。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主动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走访区司法局、区市场监管局等部门，摸清行政争议底数，建立行政争议案件信息共享、邀请参与、联动配合等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lastRenderedPageBreak/>
        <w:t>工作机制，凝聚行政争议化解合力。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针对一起消费者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与行政机关存在的行政争议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案件，联合区司法局共同向消费者、经营者开展释法说理，并对行政机关提出工作建议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最终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促使消费者与经营者达成和解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协议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并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撤销了行政复议申请。</w:t>
      </w:r>
    </w:p>
    <w:p w:rsidR="00162A17" w:rsidRPr="009B423B" w:rsidRDefault="00162A17" w:rsidP="00AE0C9C">
      <w:pPr>
        <w:spacing w:line="600" w:lineRule="exact"/>
        <w:ind w:firstLineChars="200" w:firstLine="640"/>
        <w:rPr>
          <w:rFonts w:ascii="方正楷体_GBK" w:eastAsia="方正楷体_GBK" w:hAnsi="Times New Roman"/>
          <w:sz w:val="32"/>
          <w:szCs w:val="32"/>
        </w:rPr>
      </w:pPr>
      <w:r w:rsidRPr="0005112B">
        <w:rPr>
          <w:rFonts w:ascii="方正楷体_GBK" w:eastAsia="方正楷体_GBK" w:hAnsi="Times New Roman" w:hint="eastAsia"/>
          <w:sz w:val="32"/>
          <w:szCs w:val="32"/>
        </w:rPr>
        <w:t>（三）服务区域经济社会发展，切实保障民生民利</w:t>
      </w:r>
    </w:p>
    <w:p w:rsidR="00000000" w:rsidRDefault="00162A17">
      <w:pPr>
        <w:spacing w:line="600" w:lineRule="exact"/>
        <w:ind w:firstLineChars="200" w:firstLine="640"/>
        <w:rPr>
          <w:rFonts w:ascii="方正仿宋_GBK" w:eastAsia="方正仿宋_GBK" w:hAnsi="Times New Roman"/>
          <w:color w:val="000000"/>
          <w:sz w:val="32"/>
          <w:szCs w:val="32"/>
        </w:rPr>
      </w:pP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依托民事行政检察职能，做到服务再进一步、监督再深一层、保障再广一度，助力优化营商环境、司法环境和人文环境。</w:t>
      </w:r>
      <w:r w:rsidRPr="00B7754F">
        <w:rPr>
          <w:rFonts w:ascii="方正仿宋_GBK" w:eastAsia="方正仿宋_GBK" w:hAnsi="Times New Roman" w:hint="eastAsia"/>
          <w:b/>
          <w:color w:val="000000"/>
          <w:sz w:val="32"/>
          <w:szCs w:val="32"/>
        </w:rPr>
        <w:t>一是主动服务民营企业发展。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牵头开展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知识产权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宣传周、电子商务守护联盟等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活动，联合法院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、行政机关及有关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组织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，共同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为企业创新发展提供法律服务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和司法保障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。结合民事检察、党建结对等工作，走访辖区内途牛旅游、苏宁易购等科技创新企业，建立定期联系机制，共促企业合规建设，协助破解经营难题。加大侵害民营企业合法权益案件监督力度，办理的某文化公司再审检察建议案，调查查明案外人冒名借款事实，建议法院再审改判，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最终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帮助企业挽回</w:t>
      </w:r>
      <w:r w:rsidRPr="00B7754F">
        <w:rPr>
          <w:rFonts w:ascii="Times New Roman" w:eastAsia="方正仿宋_GBK" w:hAnsi="Times New Roman"/>
          <w:color w:val="000000"/>
          <w:sz w:val="32"/>
          <w:szCs w:val="32"/>
        </w:rPr>
        <w:t>180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万元损失。</w:t>
      </w:r>
      <w:r w:rsidRPr="00B7754F">
        <w:rPr>
          <w:rFonts w:ascii="方正仿宋_GBK" w:eastAsia="方正仿宋_GBK" w:hAnsi="Times New Roman" w:hint="eastAsia"/>
          <w:b/>
          <w:color w:val="000000"/>
          <w:sz w:val="32"/>
          <w:szCs w:val="32"/>
        </w:rPr>
        <w:t>二是促进社会治理精细化。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针对民事行政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案件办理过程中发现的监管缺位、制度漏洞等社会治理问题，及时向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主管部门和相关单位制发检察建议书，有针对性地提出整改建议，促进社会治理效能提升。先后就国有资产管理、个人信息保护、预付卡经营监管等领域问题，向相关部门和单位发出检察建议</w:t>
      </w:r>
      <w:r w:rsidRPr="00B7754F">
        <w:rPr>
          <w:rFonts w:ascii="Times New Roman" w:eastAsia="方正仿宋_GBK" w:hAnsi="Times New Roman" w:hint="eastAsia"/>
          <w:color w:val="000000"/>
          <w:sz w:val="32"/>
          <w:szCs w:val="32"/>
        </w:rPr>
        <w:t>5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份，均被采纳。</w:t>
      </w:r>
      <w:r w:rsidRPr="00B7754F">
        <w:rPr>
          <w:rFonts w:ascii="方正仿宋_GBK" w:eastAsia="方正仿宋_GBK" w:hAnsi="Times New Roman" w:hint="eastAsia"/>
          <w:b/>
          <w:color w:val="000000"/>
          <w:sz w:val="32"/>
          <w:szCs w:val="32"/>
        </w:rPr>
        <w:t>三是依法保障弱势群体合法权益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。支持社会弱势群体通过民事诉讼进行维权，依法保障其起诉权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lastRenderedPageBreak/>
        <w:t>利，实现双方当事人诉讼能力实质性平等，成功办理一批农民工讨薪等支持起诉案件，有效维护了劳动者赖以生存的工资权益。办理的</w:t>
      </w:r>
      <w:r w:rsidRPr="00B7754F">
        <w:rPr>
          <w:rFonts w:ascii="Times New Roman" w:eastAsia="方正仿宋_GBK" w:hAnsi="Times New Roman" w:hint="eastAsia"/>
          <w:color w:val="000000"/>
          <w:sz w:val="32"/>
          <w:szCs w:val="32"/>
        </w:rPr>
        <w:t>80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名环卫工人确认劳动关系纠纷系列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支持起诉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案件，帮助当事人收集证据获得胜诉判决，为实现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其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补缴社保费的</w:t>
      </w:r>
      <w:r>
        <w:rPr>
          <w:rFonts w:ascii="方正仿宋_GBK" w:eastAsia="方正仿宋_GBK" w:hAnsi="Times New Roman" w:hint="eastAsia"/>
          <w:color w:val="000000"/>
          <w:sz w:val="32"/>
          <w:szCs w:val="32"/>
        </w:rPr>
        <w:t>诉求奠定了基础，</w:t>
      </w:r>
      <w:r w:rsidRPr="00B7754F">
        <w:rPr>
          <w:rFonts w:ascii="方正仿宋_GBK" w:eastAsia="方正仿宋_GBK" w:hAnsi="Times New Roman" w:hint="eastAsia"/>
          <w:color w:val="000000"/>
          <w:sz w:val="32"/>
          <w:szCs w:val="32"/>
        </w:rPr>
        <w:t>该案已被最高检列入指导性案例备选。</w:t>
      </w:r>
    </w:p>
    <w:p w:rsidR="00162A17" w:rsidRPr="009B423B" w:rsidRDefault="00162A17" w:rsidP="00AE0C9C">
      <w:pPr>
        <w:spacing w:line="600" w:lineRule="exact"/>
        <w:ind w:firstLineChars="200" w:firstLine="640"/>
        <w:rPr>
          <w:rFonts w:ascii="方正楷体_GBK" w:eastAsia="方正楷体_GBK" w:hAnsi="Times New Roman"/>
          <w:sz w:val="32"/>
          <w:szCs w:val="32"/>
        </w:rPr>
      </w:pPr>
      <w:r w:rsidRPr="0005112B">
        <w:rPr>
          <w:rFonts w:ascii="方正楷体_GBK" w:eastAsia="方正楷体_GBK" w:hAnsi="Times New Roman" w:hint="eastAsia"/>
          <w:sz w:val="32"/>
          <w:szCs w:val="32"/>
        </w:rPr>
        <w:t>（四）主动接受各方监督，不断强化队伍素能和机制建设</w:t>
      </w:r>
    </w:p>
    <w:p w:rsidR="00000000" w:rsidRDefault="00162A17">
      <w:pPr>
        <w:spacing w:line="600" w:lineRule="exact"/>
        <w:ind w:firstLineChars="200" w:firstLine="640"/>
        <w:rPr>
          <w:rFonts w:ascii="Times New Roman" w:eastAsia="方正仿宋_GBK" w:hAnsi="Times New Roman"/>
          <w:color w:val="000000"/>
          <w:sz w:val="32"/>
          <w:szCs w:val="32"/>
        </w:rPr>
      </w:pPr>
      <w:r w:rsidRPr="009B6173">
        <w:rPr>
          <w:rFonts w:ascii="Times New Roman" w:eastAsia="方正仿宋_GBK" w:hAnsi="Times New Roman" w:hint="eastAsia"/>
          <w:sz w:val="32"/>
          <w:szCs w:val="32"/>
        </w:rPr>
        <w:t>检察内设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机构调整后，高度重视民行检察工作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的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发展，转变“重刑轻民”理念，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进一步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健全保障机制。</w:t>
      </w:r>
      <w:r w:rsidRPr="00E22E46">
        <w:rPr>
          <w:rFonts w:ascii="Times New Roman" w:eastAsia="方正仿宋_GBK" w:hAnsi="Times New Roman" w:hint="eastAsia"/>
          <w:b/>
          <w:color w:val="000000"/>
          <w:sz w:val="32"/>
          <w:szCs w:val="32"/>
        </w:rPr>
        <w:t>一是主动接受监督，争取各方支持配合</w:t>
      </w:r>
      <w:r w:rsidRPr="00E22E46">
        <w:rPr>
          <w:rFonts w:ascii="Times New Roman" w:eastAsia="方正仿宋_GBK" w:hAnsi="Times New Roman"/>
          <w:b/>
          <w:color w:val="000000"/>
          <w:sz w:val="32"/>
          <w:szCs w:val="32"/>
        </w:rPr>
        <w:t>。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坚持在党委领导下开展工作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，自觉接受人大及其常委会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的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监督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，积极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向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区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委、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区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人大及其常委会汇报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检察工作，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认真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落实审议和指导意见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。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高效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办理代表委员建议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提案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，采取务实有效措施回应人民群众对加强民事行政诉讼监督的期待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。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邀请人大代表、政协委员、人民监督员等参与民事案件听证、专家咨询、信访答复等环节，增进对检察业务工作的深度了解。</w:t>
      </w:r>
      <w:r w:rsidRPr="00C93FFD">
        <w:rPr>
          <w:rFonts w:ascii="Times New Roman" w:eastAsia="方正仿宋_GBK" w:hAnsi="Times New Roman" w:hint="eastAsia"/>
          <w:b/>
          <w:color w:val="000000"/>
          <w:sz w:val="32"/>
          <w:szCs w:val="32"/>
        </w:rPr>
        <w:t>二是健全民行检察工作机制</w:t>
      </w:r>
      <w:r w:rsidRPr="00C93FFD">
        <w:rPr>
          <w:rFonts w:ascii="Times New Roman" w:eastAsia="方正仿宋_GBK" w:hAnsi="Times New Roman"/>
          <w:b/>
          <w:color w:val="000000"/>
          <w:sz w:val="32"/>
          <w:szCs w:val="32"/>
        </w:rPr>
        <w:t>。</w:t>
      </w:r>
      <w:r w:rsidRPr="00523D83">
        <w:rPr>
          <w:rFonts w:ascii="Times New Roman" w:eastAsia="方正仿宋_GBK" w:hAnsi="Times New Roman" w:hint="eastAsia"/>
          <w:color w:val="000000"/>
          <w:sz w:val="32"/>
          <w:szCs w:val="32"/>
        </w:rPr>
        <w:t>与区法院建立案件会商、意见交换、联合息诉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、邀请监督</w:t>
      </w:r>
      <w:r w:rsidRPr="00523D83">
        <w:rPr>
          <w:rFonts w:ascii="Times New Roman" w:eastAsia="方正仿宋_GBK" w:hAnsi="Times New Roman" w:hint="eastAsia"/>
          <w:color w:val="000000"/>
          <w:sz w:val="32"/>
          <w:szCs w:val="32"/>
        </w:rPr>
        <w:t>等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制度</w:t>
      </w:r>
      <w:r w:rsidRPr="00523D83"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加强检法沟通和协作，支持并促进依法裁判、规范执行。</w:t>
      </w:r>
      <w:r w:rsidRPr="00523D83">
        <w:rPr>
          <w:rFonts w:ascii="Times New Roman" w:eastAsia="方正仿宋_GBK" w:hAnsi="Times New Roman" w:hint="eastAsia"/>
          <w:color w:val="000000"/>
          <w:sz w:val="32"/>
          <w:szCs w:val="32"/>
        </w:rPr>
        <w:t>2019</w:t>
      </w:r>
      <w:r w:rsidRPr="00523D83">
        <w:rPr>
          <w:rFonts w:ascii="Times New Roman" w:eastAsia="方正仿宋_GBK" w:hAnsi="Times New Roman" w:hint="eastAsia"/>
          <w:color w:val="000000"/>
          <w:sz w:val="32"/>
          <w:szCs w:val="32"/>
        </w:rPr>
        <w:t>年</w:t>
      </w:r>
      <w:r w:rsidRPr="00523D83">
        <w:rPr>
          <w:rFonts w:ascii="Times New Roman" w:eastAsia="方正仿宋_GBK" w:hAnsi="Times New Roman" w:hint="eastAsia"/>
          <w:color w:val="000000"/>
          <w:sz w:val="32"/>
          <w:szCs w:val="32"/>
        </w:rPr>
        <w:t>1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1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月，与区司法局签订“对口联系工作协议”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，建立联席会议、线索移送反馈等五项工作机制，并在该局律师工作委员会挂牌设立“诉讼监督联络点”，搭建检、司、律三方便捷交流平台。</w:t>
      </w:r>
      <w:r w:rsidRPr="007C6A86">
        <w:rPr>
          <w:rFonts w:ascii="Times New Roman" w:eastAsia="方正仿宋_GBK" w:hAnsi="Times New Roman" w:hint="eastAsia"/>
          <w:b/>
          <w:color w:val="000000"/>
          <w:sz w:val="32"/>
          <w:szCs w:val="32"/>
        </w:rPr>
        <w:t>三是</w:t>
      </w:r>
      <w:r>
        <w:rPr>
          <w:rFonts w:ascii="Times New Roman" w:eastAsia="方正仿宋_GBK" w:hAnsi="Times New Roman" w:hint="eastAsia"/>
          <w:b/>
          <w:color w:val="000000"/>
          <w:sz w:val="32"/>
          <w:szCs w:val="32"/>
        </w:rPr>
        <w:t>不断强化</w:t>
      </w:r>
      <w:r>
        <w:rPr>
          <w:rFonts w:ascii="Times New Roman" w:eastAsia="方正仿宋_GBK" w:hAnsi="Times New Roman"/>
          <w:b/>
          <w:color w:val="000000"/>
          <w:sz w:val="32"/>
          <w:szCs w:val="32"/>
        </w:rPr>
        <w:t>队伍</w:t>
      </w:r>
      <w:r w:rsidRPr="007C6A86">
        <w:rPr>
          <w:rFonts w:ascii="Times New Roman" w:eastAsia="方正仿宋_GBK" w:hAnsi="Times New Roman"/>
          <w:b/>
          <w:color w:val="000000"/>
          <w:sz w:val="32"/>
          <w:szCs w:val="32"/>
        </w:rPr>
        <w:t>建设。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根据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民事行政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法律法规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更新快、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民行检察</w:t>
      </w:r>
      <w:r>
        <w:rPr>
          <w:rFonts w:ascii="Times New Roman" w:eastAsia="方正仿宋_GBK" w:hAnsi="Times New Roman"/>
          <w:color w:val="000000"/>
          <w:sz w:val="32"/>
          <w:szCs w:val="32"/>
        </w:rPr>
        <w:t>职能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变化大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的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特点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，紧抓业务学习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lastRenderedPageBreak/>
        <w:t>和队伍建设</w:t>
      </w:r>
      <w:r>
        <w:rPr>
          <w:rFonts w:ascii="Times New Roman" w:eastAsia="方正仿宋_GBK" w:hAnsi="Times New Roman"/>
          <w:color w:val="000000"/>
          <w:sz w:val="32"/>
          <w:szCs w:val="32"/>
        </w:rPr>
        <w:t>不放松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，组成民事、行政检察办案组，提升办理案件专业化程度。</w:t>
      </w:r>
      <w:r>
        <w:rPr>
          <w:rFonts w:ascii="Times New Roman" w:eastAsia="方正仿宋_GBK" w:hAnsi="Times New Roman"/>
          <w:color w:val="000000"/>
          <w:sz w:val="32"/>
          <w:szCs w:val="32"/>
        </w:rPr>
        <w:t>组织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参加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岗位练兵和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各类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业务竞赛活动，提升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干警的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岗位技能。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201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8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年以来，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我院民</w:t>
      </w:r>
      <w:r w:rsidRPr="003E1D72">
        <w:rPr>
          <w:rFonts w:ascii="Times New Roman" w:eastAsia="方正仿宋_GBK" w:hAnsi="Times New Roman" w:hint="eastAsia"/>
          <w:color w:val="000000"/>
          <w:sz w:val="32"/>
          <w:szCs w:val="32"/>
        </w:rPr>
        <w:t>行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部门</w:t>
      </w:r>
      <w:r w:rsidRPr="003E1D72">
        <w:rPr>
          <w:rFonts w:ascii="Times New Roman" w:eastAsia="方正仿宋_GBK" w:hAnsi="Times New Roman"/>
          <w:color w:val="000000"/>
          <w:sz w:val="32"/>
          <w:szCs w:val="32"/>
        </w:rPr>
        <w:t>干警获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市级先进个人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人次、业务标兵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3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人次、业务能手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人次，荣立个人三等功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人次，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名干警获“南京市技术能手”。</w:t>
      </w:r>
    </w:p>
    <w:p w:rsidR="00000000" w:rsidRDefault="00C95FC0">
      <w:pPr>
        <w:spacing w:line="600" w:lineRule="exact"/>
        <w:ind w:firstLineChars="200" w:firstLine="640"/>
        <w:rPr>
          <w:rFonts w:ascii="方正黑体_GBK" w:eastAsia="方正黑体_GBK"/>
          <w:sz w:val="32"/>
          <w:szCs w:val="32"/>
        </w:rPr>
      </w:pPr>
      <w:r w:rsidRPr="00C95FC0">
        <w:rPr>
          <w:rFonts w:ascii="方正黑体_GBK" w:eastAsia="方正黑体_GBK" w:hint="eastAsia"/>
          <w:sz w:val="32"/>
          <w:szCs w:val="32"/>
        </w:rPr>
        <w:t>二、存在的困难与问题</w:t>
      </w:r>
    </w:p>
    <w:p w:rsidR="00162A17" w:rsidRPr="004A666E" w:rsidRDefault="00162A17" w:rsidP="00AE0C9C">
      <w:pPr>
        <w:spacing w:line="600" w:lineRule="exact"/>
        <w:ind w:firstLineChars="200" w:firstLine="640"/>
        <w:rPr>
          <w:rFonts w:ascii="方正仿宋_GBK" w:eastAsia="方正仿宋_GBK" w:hAnsi="Times New Roman"/>
          <w:sz w:val="32"/>
          <w:szCs w:val="32"/>
        </w:rPr>
      </w:pPr>
      <w:r w:rsidRPr="00F31E76">
        <w:rPr>
          <w:rFonts w:ascii="方正仿宋_GBK" w:eastAsia="方正仿宋_GBK" w:hAnsi="Times New Roman" w:hint="eastAsia"/>
          <w:sz w:val="32"/>
          <w:szCs w:val="32"/>
        </w:rPr>
        <w:t>近年来，我院民事行政检察工作</w:t>
      </w:r>
      <w:r>
        <w:rPr>
          <w:rFonts w:ascii="方正仿宋_GBK" w:eastAsia="方正仿宋_GBK" w:hAnsi="Times New Roman" w:hint="eastAsia"/>
          <w:sz w:val="32"/>
          <w:szCs w:val="32"/>
        </w:rPr>
        <w:t>在改革中不断</w:t>
      </w:r>
      <w:r w:rsidRPr="00F31E76">
        <w:rPr>
          <w:rFonts w:ascii="方正仿宋_GBK" w:eastAsia="方正仿宋_GBK" w:hAnsi="Times New Roman" w:hint="eastAsia"/>
          <w:sz w:val="32"/>
          <w:szCs w:val="32"/>
        </w:rPr>
        <w:t>发展，社会影响也在不断提升。但是应当清醒地认识到，此项工作仍然存在一些困难和问题有待解决，主要体现在：</w:t>
      </w:r>
      <w:r w:rsidR="00C95FC0" w:rsidRPr="00C95FC0">
        <w:rPr>
          <w:rFonts w:ascii="方正楷体_GBK" w:eastAsia="方正楷体_GBK" w:hAnsi="Times New Roman" w:hint="eastAsia"/>
          <w:sz w:val="32"/>
          <w:szCs w:val="32"/>
        </w:rPr>
        <w:t>一是监督手段缺乏刚性。</w:t>
      </w:r>
      <w:r w:rsidRPr="00F31E76">
        <w:rPr>
          <w:rFonts w:ascii="方正仿宋_GBK" w:eastAsia="方正仿宋_GBK" w:hAnsi="Times New Roman" w:hint="eastAsia"/>
          <w:sz w:val="32"/>
          <w:szCs w:val="32"/>
        </w:rPr>
        <w:t>民事行政</w:t>
      </w:r>
      <w:r>
        <w:rPr>
          <w:rFonts w:ascii="方正仿宋_GBK" w:eastAsia="方正仿宋_GBK" w:hAnsi="Times New Roman" w:hint="eastAsia"/>
          <w:sz w:val="32"/>
          <w:szCs w:val="32"/>
        </w:rPr>
        <w:t>检察</w:t>
      </w:r>
      <w:r w:rsidRPr="00F31E76">
        <w:rPr>
          <w:rFonts w:ascii="方正仿宋_GBK" w:eastAsia="方正仿宋_GBK" w:hAnsi="Times New Roman" w:hint="eastAsia"/>
          <w:sz w:val="32"/>
          <w:szCs w:val="32"/>
        </w:rPr>
        <w:t>监督</w:t>
      </w:r>
      <w:r>
        <w:rPr>
          <w:rFonts w:ascii="方正仿宋_GBK" w:eastAsia="方正仿宋_GBK" w:hAnsi="Times New Roman" w:hint="eastAsia"/>
          <w:sz w:val="32"/>
          <w:szCs w:val="32"/>
        </w:rPr>
        <w:t>的手段和方法较为单一，</w:t>
      </w:r>
      <w:r w:rsidRPr="00F31E76">
        <w:rPr>
          <w:rFonts w:ascii="方正仿宋_GBK" w:eastAsia="方正仿宋_GBK" w:hAnsi="Times New Roman" w:hint="eastAsia"/>
          <w:sz w:val="32"/>
          <w:szCs w:val="32"/>
        </w:rPr>
        <w:t>相关法律规定</w:t>
      </w:r>
      <w:r>
        <w:rPr>
          <w:rFonts w:ascii="方正仿宋_GBK" w:eastAsia="方正仿宋_GBK" w:hAnsi="Times New Roman" w:hint="eastAsia"/>
          <w:sz w:val="32"/>
          <w:szCs w:val="32"/>
        </w:rPr>
        <w:t>比较原则</w:t>
      </w:r>
      <w:r w:rsidRPr="00F31E76">
        <w:rPr>
          <w:rFonts w:ascii="方正仿宋_GBK" w:eastAsia="方正仿宋_GBK" w:hAnsi="Times New Roman" w:hint="eastAsia"/>
          <w:sz w:val="32"/>
          <w:szCs w:val="32"/>
        </w:rPr>
        <w:t>，检察建议的刚性约束力不足。少数单位对检察监督有抵触情绪，存在对检察建议推诿扯皮、回复不及时等问题，影响了监督效果。</w:t>
      </w:r>
      <w:r w:rsidR="00C95FC0" w:rsidRPr="00C95FC0">
        <w:rPr>
          <w:rFonts w:ascii="方正楷体_GBK" w:eastAsia="方正楷体_GBK" w:hAnsi="Times New Roman" w:hint="eastAsia"/>
          <w:sz w:val="32"/>
          <w:szCs w:val="32"/>
        </w:rPr>
        <w:t>二是息诉息访压力较大。</w:t>
      </w:r>
      <w:r w:rsidRPr="00F31E76">
        <w:rPr>
          <w:rFonts w:ascii="方正仿宋_GBK" w:eastAsia="方正仿宋_GBK" w:hAnsi="Times New Roman" w:hint="eastAsia"/>
          <w:sz w:val="32"/>
          <w:szCs w:val="32"/>
        </w:rPr>
        <w:t>按照民事行政检察办案规律，检察机关对大部分申请监督案件均作出不监督决定。但是对于申请人来说，检察监督是最后的救济途径，其监督申请得不到支持，就可能引发涉检信访、缠诉缠访等情况，使检察机关面临较大的息诉息访压</w:t>
      </w:r>
      <w:r>
        <w:rPr>
          <w:rFonts w:ascii="方正仿宋_GBK" w:eastAsia="方正仿宋_GBK" w:hAnsi="Times New Roman" w:hint="eastAsia"/>
          <w:sz w:val="32"/>
          <w:szCs w:val="32"/>
        </w:rPr>
        <w:t>力。</w:t>
      </w:r>
      <w:r w:rsidR="00C95FC0" w:rsidRPr="00C95FC0">
        <w:rPr>
          <w:rFonts w:ascii="方正楷体_GBK" w:eastAsia="方正楷体_GBK" w:hAnsi="Times New Roman" w:hint="eastAsia"/>
          <w:sz w:val="32"/>
          <w:szCs w:val="32"/>
        </w:rPr>
        <w:t>三是队伍状况还不能完全适应新形势的需要。</w:t>
      </w:r>
      <w:r>
        <w:rPr>
          <w:rFonts w:ascii="方正仿宋_GBK" w:eastAsia="方正仿宋_GBK" w:hAnsi="Times New Roman" w:hint="eastAsia"/>
          <w:sz w:val="32"/>
          <w:szCs w:val="32"/>
        </w:rPr>
        <w:t>随着司法改革的不断深入和工作职能的不断拓展，民行检察人员配备不足、专业化程度不高等问题逐渐显现，精准监督能力有待进一步提升。</w:t>
      </w:r>
    </w:p>
    <w:p w:rsidR="00000000" w:rsidRDefault="00C95FC0">
      <w:pPr>
        <w:spacing w:line="600" w:lineRule="exact"/>
        <w:ind w:firstLineChars="200" w:firstLine="640"/>
        <w:rPr>
          <w:rFonts w:ascii="方正黑体_GBK" w:eastAsia="方正黑体_GBK"/>
          <w:sz w:val="32"/>
          <w:szCs w:val="32"/>
        </w:rPr>
      </w:pPr>
      <w:r w:rsidRPr="00C95FC0">
        <w:rPr>
          <w:rFonts w:ascii="方正黑体_GBK" w:eastAsia="方正黑体_GBK" w:hint="eastAsia"/>
          <w:sz w:val="32"/>
          <w:szCs w:val="32"/>
        </w:rPr>
        <w:t>三、加强民事行政检察工作的打算</w:t>
      </w:r>
    </w:p>
    <w:p w:rsidR="00162A17" w:rsidRPr="00F31E76" w:rsidRDefault="00162A17" w:rsidP="00AE0C9C">
      <w:pPr>
        <w:spacing w:line="600" w:lineRule="exact"/>
        <w:ind w:firstLineChars="200" w:firstLine="640"/>
        <w:rPr>
          <w:rFonts w:ascii="方正仿宋_GBK" w:eastAsia="方正仿宋_GBK" w:hAnsi="Times New Roman"/>
          <w:color w:val="000000"/>
          <w:sz w:val="32"/>
          <w:szCs w:val="32"/>
        </w:rPr>
      </w:pPr>
      <w:r w:rsidRPr="00F31E76">
        <w:rPr>
          <w:rFonts w:ascii="Times New Roman" w:eastAsia="方正仿宋_GBK" w:hAnsi="Times New Roman"/>
          <w:color w:val="3F3F3F"/>
          <w:sz w:val="32"/>
          <w:szCs w:val="32"/>
          <w:shd w:val="clear" w:color="auto" w:fill="FFFFFF"/>
        </w:rPr>
        <w:lastRenderedPageBreak/>
        <w:t>今年</w:t>
      </w:r>
      <w:r w:rsidRPr="00F31E76">
        <w:rPr>
          <w:rFonts w:ascii="Times New Roman" w:eastAsia="方正仿宋_GBK" w:hAnsi="Times New Roman"/>
          <w:color w:val="000000"/>
          <w:sz w:val="32"/>
          <w:szCs w:val="32"/>
        </w:rPr>
        <w:t>1</w:t>
      </w:r>
      <w:r w:rsidRPr="00F31E76">
        <w:rPr>
          <w:rFonts w:ascii="Times New Roman" w:eastAsia="方正仿宋_GBK" w:hAnsi="Times New Roman"/>
          <w:color w:val="3F3F3F"/>
          <w:sz w:val="32"/>
          <w:szCs w:val="32"/>
          <w:shd w:val="clear" w:color="auto" w:fill="FFFFFF"/>
        </w:rPr>
        <w:t>月和</w:t>
      </w:r>
      <w:r w:rsidRPr="00F31E76">
        <w:rPr>
          <w:rFonts w:ascii="Times New Roman" w:eastAsia="方正仿宋_GBK" w:hAnsi="Times New Roman"/>
          <w:color w:val="000000"/>
          <w:sz w:val="32"/>
          <w:szCs w:val="32"/>
        </w:rPr>
        <w:t>6</w:t>
      </w:r>
      <w:r w:rsidRPr="00F31E76">
        <w:rPr>
          <w:rFonts w:ascii="Times New Roman" w:eastAsia="方正仿宋_GBK" w:hAnsi="Times New Roman"/>
          <w:color w:val="000000"/>
          <w:sz w:val="32"/>
          <w:szCs w:val="32"/>
        </w:rPr>
        <w:t>月</w:t>
      </w:r>
      <w:r w:rsidRPr="00F31E76">
        <w:rPr>
          <w:rFonts w:ascii="Times New Roman" w:eastAsia="方正仿宋_GBK" w:hAnsi="Times New Roman"/>
          <w:color w:val="3F3F3F"/>
          <w:sz w:val="32"/>
          <w:szCs w:val="32"/>
          <w:shd w:val="clear" w:color="auto" w:fill="FFFFFF"/>
        </w:rPr>
        <w:t>，第十五次全国检察工作会议、第十八次全</w:t>
      </w:r>
      <w:r w:rsidRPr="00F31E76">
        <w:rPr>
          <w:rFonts w:ascii="方正仿宋_GBK" w:eastAsia="方正仿宋_GBK" w:hint="eastAsia"/>
          <w:color w:val="3F3F3F"/>
          <w:sz w:val="32"/>
          <w:szCs w:val="32"/>
          <w:shd w:val="clear" w:color="auto" w:fill="FFFFFF"/>
        </w:rPr>
        <w:t>省检察工作会议先后召开，</w:t>
      </w:r>
      <w:r>
        <w:rPr>
          <w:rFonts w:ascii="方正仿宋_GBK" w:eastAsia="方正仿宋_GBK" w:hint="eastAsia"/>
          <w:color w:val="3F3F3F"/>
          <w:sz w:val="32"/>
          <w:szCs w:val="32"/>
          <w:shd w:val="clear" w:color="auto" w:fill="FFFFFF"/>
        </w:rPr>
        <w:t>全面部署“十四五”时期检察工作，对强化</w:t>
      </w:r>
      <w:r w:rsidRPr="00F31E76">
        <w:rPr>
          <w:rFonts w:ascii="方正仿宋_GBK" w:eastAsia="方正仿宋_GBK" w:hint="eastAsia"/>
          <w:color w:val="3F3F3F"/>
          <w:sz w:val="32"/>
          <w:szCs w:val="32"/>
          <w:shd w:val="clear" w:color="auto" w:fill="FFFFFF"/>
        </w:rPr>
        <w:t>民事行政检察提出了新的更高要求。</w:t>
      </w:r>
      <w:r w:rsidRPr="00F31E76">
        <w:rPr>
          <w:rFonts w:ascii="方正仿宋_GBK" w:eastAsia="方正仿宋_GBK" w:hAnsi="Times New Roman" w:hint="eastAsia"/>
          <w:color w:val="000000"/>
          <w:sz w:val="32"/>
          <w:szCs w:val="32"/>
        </w:rPr>
        <w:t>今年</w:t>
      </w:r>
      <w:r w:rsidRPr="001C62DE">
        <w:rPr>
          <w:rFonts w:ascii="Times New Roman" w:eastAsia="方正仿宋_GBK" w:hAnsi="Times New Roman"/>
          <w:color w:val="000000"/>
          <w:sz w:val="32"/>
          <w:szCs w:val="32"/>
        </w:rPr>
        <w:t>6</w:t>
      </w:r>
      <w:r w:rsidRPr="001C62DE">
        <w:rPr>
          <w:rFonts w:ascii="Times New Roman" w:eastAsia="方正仿宋_GBK" w:hAnsi="Times New Roman"/>
          <w:color w:val="000000"/>
          <w:sz w:val="32"/>
          <w:szCs w:val="32"/>
        </w:rPr>
        <w:t>月</w:t>
      </w:r>
      <w:r w:rsidRPr="001C62DE">
        <w:rPr>
          <w:rFonts w:ascii="Times New Roman" w:eastAsia="方正仿宋_GBK" w:hAnsi="Times New Roman"/>
          <w:color w:val="000000"/>
          <w:sz w:val="32"/>
          <w:szCs w:val="32"/>
        </w:rPr>
        <w:t>15</w:t>
      </w:r>
      <w:r w:rsidRPr="001C62DE">
        <w:rPr>
          <w:rFonts w:ascii="Times New Roman" w:eastAsia="方正仿宋_GBK" w:hAnsi="Times New Roman"/>
          <w:color w:val="000000"/>
          <w:sz w:val="32"/>
          <w:szCs w:val="32"/>
        </w:rPr>
        <w:t>日，中共中央专门下发《关于加强新时代检察机关法律</w:t>
      </w:r>
      <w:r w:rsidRPr="00F31E76">
        <w:rPr>
          <w:rFonts w:ascii="方正仿宋_GBK" w:eastAsia="方正仿宋_GBK" w:hAnsi="Times New Roman" w:hint="eastAsia"/>
          <w:color w:val="000000"/>
          <w:sz w:val="32"/>
          <w:szCs w:val="32"/>
        </w:rPr>
        <w:t>监督工作的意见》，明确指出要“精准开展民事诉讼监督”“全面深化行政检察监督”，充分彰显了党中央对检察机关法律监督工作的高度重视。下一步，我院将深入贯彻党中央文件及全国、全省检察工作会议精神，认真落实区人大常委会审议意见，不断加强和改进民事行政检察各项工作。</w:t>
      </w:r>
    </w:p>
    <w:p w:rsidR="00162A17" w:rsidRPr="00792628" w:rsidRDefault="00C95FC0" w:rsidP="00AE0C9C">
      <w:pPr>
        <w:spacing w:line="600" w:lineRule="exact"/>
        <w:ind w:firstLineChars="200" w:firstLine="640"/>
        <w:rPr>
          <w:rFonts w:ascii="方正仿宋_GBK" w:eastAsia="方正仿宋_GBK" w:hAnsi="Times New Roman"/>
          <w:color w:val="000000"/>
          <w:sz w:val="32"/>
          <w:szCs w:val="32"/>
        </w:rPr>
      </w:pPr>
      <w:r w:rsidRPr="00C95FC0">
        <w:rPr>
          <w:rFonts w:ascii="方正楷体_GBK" w:eastAsia="方正楷体_GBK" w:hAnsi="Times New Roman" w:hint="eastAsia"/>
          <w:sz w:val="32"/>
          <w:szCs w:val="32"/>
        </w:rPr>
        <w:t>（一）提高政治站位，确保民事行政检察工作正确发展方向。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深入贯彻落实中央决策部署，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坚持党对检察工作的绝对领导，坚持在人大监督下开展工作，把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维护公平正义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、保障国家法律统一正确实施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作为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出发点和着力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点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。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增强大局意识，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更新检察理念，围绕玄武高质量发展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目标，找准民事行政检察工作服务保障经济社会发展的契合点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，在助力优化营商环境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和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法治环境等方面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，拿出更务实高效的举措，产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出更优秀的检察产品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。</w:t>
      </w:r>
    </w:p>
    <w:p w:rsidR="00162A17" w:rsidRPr="00792628" w:rsidRDefault="00C95FC0" w:rsidP="00AE0C9C">
      <w:pPr>
        <w:spacing w:line="600" w:lineRule="exact"/>
        <w:ind w:firstLineChars="200" w:firstLine="640"/>
        <w:rPr>
          <w:rFonts w:ascii="方正仿宋_GBK" w:eastAsia="方正仿宋_GBK" w:hAnsi="Times New Roman"/>
          <w:color w:val="000000"/>
          <w:sz w:val="32"/>
          <w:szCs w:val="32"/>
        </w:rPr>
      </w:pPr>
      <w:r w:rsidRPr="00C95FC0">
        <w:rPr>
          <w:rFonts w:ascii="方正楷体_GBK" w:eastAsia="方正楷体_GBK" w:hAnsi="Times New Roman" w:hint="eastAsia"/>
          <w:sz w:val="32"/>
          <w:szCs w:val="32"/>
        </w:rPr>
        <w:t>（二）强化法律监督，推动民事行政检察工作做强做优。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把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检察建议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、提请抗诉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作为诉讼监督的重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要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抓手，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不断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强化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对虚假诉讼行为的查处力度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，深入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开展民事行政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审判程序和执行</w:t>
      </w:r>
      <w:r w:rsidR="00162A17" w:rsidRPr="00792628">
        <w:rPr>
          <w:rFonts w:ascii="方正仿宋_GBK" w:eastAsia="方正仿宋_GBK" w:hAnsi="Times New Roman" w:hint="eastAsia"/>
          <w:color w:val="000000"/>
          <w:sz w:val="32"/>
          <w:szCs w:val="32"/>
        </w:rPr>
        <w:t>监督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工作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，依法监督纠正错误裁判、程序违法情形，切实回应人民群众对公正司法的更高需求。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在提升监督案件数量与质</w:t>
      </w:r>
      <w:r w:rsidR="00162A17">
        <w:rPr>
          <w:rFonts w:ascii="方正仿宋_GBK" w:eastAsia="方正仿宋_GBK" w:hAnsi="Times New Roman"/>
          <w:color w:val="000000"/>
          <w:sz w:val="32"/>
          <w:szCs w:val="32"/>
        </w:rPr>
        <w:t>量的同时，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注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lastRenderedPageBreak/>
        <w:t>重办理案件“三个效果”的有机统一，</w:t>
      </w:r>
      <w:r w:rsidR="00162A17">
        <w:rPr>
          <w:rFonts w:ascii="方正仿宋_GBK" w:eastAsia="方正仿宋_GBK" w:hAnsi="Times New Roman"/>
          <w:color w:val="000000"/>
          <w:sz w:val="32"/>
          <w:szCs w:val="32"/>
        </w:rPr>
        <w:t>坚持把防范办案风险、化解矛盾纠纷贯穿到司法办案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全过程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，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加强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释法说理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、以案说法</w:t>
      </w:r>
      <w:r w:rsidR="00162A17">
        <w:rPr>
          <w:rFonts w:ascii="方正仿宋_GBK" w:eastAsia="方正仿宋_GBK" w:hAnsi="Times New Roman"/>
          <w:color w:val="000000"/>
          <w:sz w:val="32"/>
          <w:szCs w:val="32"/>
        </w:rPr>
        <w:t>，强化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检察机关与人民法院、行政机关的协调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配合，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探索完善行政</w:t>
      </w:r>
      <w:r w:rsidRPr="00C95FC0">
        <w:rPr>
          <w:rFonts w:ascii="方正仿宋_GBK" w:eastAsia="方正仿宋_GBK" w:hAnsi="Times New Roman" w:hint="eastAsia"/>
          <w:color w:val="000000"/>
          <w:spacing w:val="-8"/>
          <w:sz w:val="32"/>
          <w:szCs w:val="32"/>
        </w:rPr>
        <w:t>检察与行政争议化解衔接机制，筑牢维护社会平安稳定的坚实防</w:t>
      </w:r>
      <w:r w:rsidR="00162A17" w:rsidRPr="00792628">
        <w:rPr>
          <w:rFonts w:ascii="方正仿宋_GBK" w:eastAsia="方正仿宋_GBK" w:hAnsi="Times New Roman"/>
          <w:color w:val="000000"/>
          <w:sz w:val="32"/>
          <w:szCs w:val="32"/>
        </w:rPr>
        <w:t>线。</w:t>
      </w:r>
    </w:p>
    <w:p w:rsidR="00162A17" w:rsidRPr="0063542C" w:rsidRDefault="00C95FC0" w:rsidP="00AE0C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C95FC0">
        <w:rPr>
          <w:rFonts w:ascii="方正楷体_GBK" w:eastAsia="方正楷体_GBK" w:hAnsi="Times New Roman" w:hint="eastAsia"/>
          <w:sz w:val="32"/>
          <w:szCs w:val="32"/>
        </w:rPr>
        <w:t>（三）延伸监督触角，提升民事行政检察工作社会影响。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主动适应</w:t>
      </w:r>
      <w:r w:rsidR="00162A17" w:rsidRPr="008604CE">
        <w:rPr>
          <w:rFonts w:ascii="方正仿宋_GBK" w:eastAsia="方正仿宋_GBK" w:hAnsi="Times New Roman" w:hint="eastAsia"/>
          <w:color w:val="000000"/>
          <w:sz w:val="32"/>
          <w:szCs w:val="32"/>
        </w:rPr>
        <w:t>检察职能重构、司法改革带来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的新变化</w:t>
      </w:r>
      <w:r w:rsidR="00162A17" w:rsidRPr="008604CE">
        <w:rPr>
          <w:rFonts w:ascii="方正仿宋_GBK" w:eastAsia="方正仿宋_GBK" w:hAnsi="Times New Roman" w:hint="eastAsia"/>
          <w:color w:val="000000"/>
          <w:sz w:val="32"/>
          <w:szCs w:val="32"/>
        </w:rPr>
        <w:t>、新要求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，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树立精品意识，打造特色工作，培育典型案例，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着力提升</w:t>
      </w:r>
      <w:r w:rsidR="00162A17" w:rsidRPr="008604CE">
        <w:rPr>
          <w:rFonts w:ascii="方正仿宋_GBK" w:eastAsia="方正仿宋_GBK" w:hAnsi="Times New Roman" w:hint="eastAsia"/>
          <w:color w:val="000000"/>
          <w:sz w:val="32"/>
          <w:szCs w:val="32"/>
        </w:rPr>
        <w:t>民事行政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检察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监督质效</w:t>
      </w:r>
      <w:r w:rsidR="00162A17" w:rsidRPr="008604CE">
        <w:rPr>
          <w:rFonts w:ascii="方正仿宋_GBK" w:eastAsia="方正仿宋_GBK" w:hAnsi="Times New Roman" w:hint="eastAsia"/>
          <w:color w:val="000000"/>
          <w:sz w:val="32"/>
          <w:szCs w:val="32"/>
        </w:rPr>
        <w:t>，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不断增强民行检察工作的社会知晓度和影响力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。进一步深化检务公开，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拓宽公开听证案件范围，</w:t>
      </w:r>
      <w:r w:rsidR="00162A17" w:rsidRPr="008604CE">
        <w:rPr>
          <w:rFonts w:ascii="方正仿宋_GBK" w:eastAsia="方正仿宋_GBK" w:hAnsi="Times New Roman" w:hint="eastAsia"/>
          <w:color w:val="000000"/>
          <w:sz w:val="32"/>
          <w:szCs w:val="32"/>
        </w:rPr>
        <w:t>积极主动与人大代表、政协委员和社会各界加强沟通联系，虚心听取意见建议。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加大宣传工作力度，</w:t>
      </w:r>
      <w:r w:rsidR="00162A17" w:rsidRPr="008604CE">
        <w:rPr>
          <w:rFonts w:ascii="方正仿宋_GBK" w:eastAsia="方正仿宋_GBK" w:hAnsi="Times New Roman" w:hint="eastAsia"/>
          <w:color w:val="000000"/>
          <w:sz w:val="32"/>
          <w:szCs w:val="32"/>
        </w:rPr>
        <w:t>推进民行检察进社区、进企业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，开展法律宣传，提供法律</w:t>
      </w:r>
      <w:r w:rsidR="00162A17" w:rsidRPr="008604CE">
        <w:rPr>
          <w:rFonts w:ascii="方正仿宋_GBK" w:eastAsia="方正仿宋_GBK" w:hAnsi="Times New Roman" w:hint="eastAsia"/>
          <w:color w:val="000000"/>
          <w:sz w:val="32"/>
          <w:szCs w:val="32"/>
        </w:rPr>
        <w:t>服务，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接受群众监督评议，提升司法亲和力与公信力。</w:t>
      </w:r>
    </w:p>
    <w:p w:rsidR="00647A73" w:rsidRDefault="00C95FC0">
      <w:pPr>
        <w:spacing w:line="600" w:lineRule="exact"/>
        <w:ind w:firstLineChars="200" w:firstLine="640"/>
        <w:rPr>
          <w:sz w:val="32"/>
          <w:szCs w:val="32"/>
        </w:rPr>
      </w:pPr>
      <w:r w:rsidRPr="00C95FC0">
        <w:rPr>
          <w:rFonts w:ascii="方正楷体_GBK" w:eastAsia="方正楷体_GBK" w:hAnsi="Times New Roman" w:hint="eastAsia"/>
          <w:sz w:val="32"/>
          <w:szCs w:val="32"/>
        </w:rPr>
        <w:t>（四）加强队伍建设，提高民事行政检察队伍专业化水平。</w:t>
      </w:r>
      <w:r w:rsidR="00162A17">
        <w:rPr>
          <w:rFonts w:ascii="方正仿宋_GBK" w:eastAsia="方正仿宋_GBK" w:hAnsi="Times New Roman"/>
          <w:color w:val="000000"/>
          <w:sz w:val="32"/>
          <w:szCs w:val="32"/>
        </w:rPr>
        <w:t>坚持从严治检不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放松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，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践行司法为民宗旨，巩固政法队伍教育整顿活动成效，建立一支公正廉洁、忠诚担当的检察队伍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。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结合民事行政检察工作发展需要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，充实办案力量，优化人员结构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，培养骨干人才，推进与法院、行政机关互派干部交流学习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。积极开展分层分类培训、岗位练兵和业务竞赛活动，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不断提升民行检察</w:t>
      </w:r>
      <w:r w:rsidR="00162A17">
        <w:rPr>
          <w:rFonts w:ascii="方正仿宋_GBK" w:eastAsia="方正仿宋_GBK" w:hAnsi="Times New Roman"/>
          <w:color w:val="000000"/>
          <w:sz w:val="32"/>
          <w:szCs w:val="32"/>
        </w:rPr>
        <w:t>队伍</w:t>
      </w:r>
      <w:r w:rsidR="00162A17">
        <w:rPr>
          <w:rFonts w:ascii="方正仿宋_GBK" w:eastAsia="方正仿宋_GBK" w:hAnsi="Times New Roman" w:hint="eastAsia"/>
          <w:color w:val="000000"/>
          <w:sz w:val="32"/>
          <w:szCs w:val="32"/>
        </w:rPr>
        <w:t>法律监督能力和水平</w:t>
      </w:r>
      <w:r w:rsidR="00162A17" w:rsidRPr="008604CE">
        <w:rPr>
          <w:rFonts w:ascii="方正仿宋_GBK" w:eastAsia="方正仿宋_GBK" w:hAnsi="Times New Roman"/>
          <w:color w:val="000000"/>
          <w:sz w:val="32"/>
          <w:szCs w:val="32"/>
        </w:rPr>
        <w:t>。</w:t>
      </w:r>
      <w:bookmarkStart w:id="0" w:name="_GoBack"/>
      <w:bookmarkEnd w:id="0"/>
    </w:p>
    <w:sectPr w:rsidR="00647A73" w:rsidSect="00813315">
      <w:footerReference w:type="default" r:id="rId7"/>
      <w:pgSz w:w="11906" w:h="16838"/>
      <w:pgMar w:top="2098" w:right="1474" w:bottom="1701" w:left="1588" w:header="851" w:footer="124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A73" w:rsidRDefault="00647A73">
      <w:r>
        <w:separator/>
      </w:r>
    </w:p>
  </w:endnote>
  <w:endnote w:type="continuationSeparator" w:id="1">
    <w:p w:rsidR="00647A73" w:rsidRDefault="00647A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1C2741F-6ABE-4E57-A036-615270CB236D}"/>
  </w:font>
  <w:font w:name="方正仿宋_GBK">
    <w:panose1 w:val="03000509000000000000"/>
    <w:charset w:val="86"/>
    <w:family w:val="script"/>
    <w:pitch w:val="fixed"/>
    <w:sig w:usb0="00002003" w:usb1="090E0000" w:usb2="00000010" w:usb3="00000000" w:csb0="003C0041" w:csb1="00000000"/>
    <w:embedRegular r:id="rId2" w:subsetted="1" w:fontKey="{9934177A-BF87-4D1E-9592-7648341A7FCC}"/>
    <w:embedBold r:id="rId3" w:subsetted="1" w:fontKey="{D74AB853-3387-4D0C-8535-D76F58A58B23}"/>
  </w:font>
  <w:font w:name="方正黑体_GBK">
    <w:altName w:val="苹方-简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23D3A795-4830-4DE9-BDAC-2DEF8F1E58FD}"/>
  </w:font>
  <w:font w:name="方正小标宋_GBK">
    <w:altName w:val="苹方-简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A3E2571D-A94B-4BAF-BD70-76568AF80656}"/>
  </w:font>
  <w:font w:name="方正楷体_GBK">
    <w:altName w:val="苹方-简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0D2D57E1-C217-4BE3-BA75-78BBF8049D92}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9737B03-FBC9-4E16-B4AE-8CA5C74A4F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DE1" w:rsidRPr="00224580" w:rsidRDefault="00224580" w:rsidP="00224580">
    <w:pPr>
      <w:pStyle w:val="a6"/>
      <w:jc w:val="center"/>
      <w:rPr>
        <w:rFonts w:ascii="Times New Roman" w:hAnsi="Times New Roman" w:cs="Times New Roman"/>
      </w:rPr>
    </w:pPr>
    <w:r w:rsidRPr="00224580">
      <w:rPr>
        <w:rFonts w:ascii="Times New Roman" w:hAnsi="Times New Roman" w:cs="Times New Roman"/>
        <w:sz w:val="28"/>
        <w:szCs w:val="28"/>
      </w:rPr>
      <w:t xml:space="preserve">— </w:t>
    </w:r>
    <w:r w:rsidR="00C95FC0" w:rsidRPr="00224580">
      <w:rPr>
        <w:rFonts w:ascii="Times New Roman" w:hAnsi="Times New Roman" w:cs="Times New Roman"/>
        <w:sz w:val="28"/>
        <w:szCs w:val="28"/>
      </w:rPr>
      <w:fldChar w:fldCharType="begin"/>
    </w:r>
    <w:r w:rsidRPr="00224580">
      <w:rPr>
        <w:rStyle w:val="aa"/>
        <w:rFonts w:ascii="Times New Roman" w:hAnsi="Times New Roman" w:cs="Times New Roman"/>
        <w:sz w:val="28"/>
        <w:szCs w:val="28"/>
      </w:rPr>
      <w:instrText xml:space="preserve"> PAGE </w:instrText>
    </w:r>
    <w:r w:rsidR="00C95FC0" w:rsidRPr="00224580">
      <w:rPr>
        <w:rFonts w:ascii="Times New Roman" w:hAnsi="Times New Roman" w:cs="Times New Roman"/>
        <w:sz w:val="28"/>
        <w:szCs w:val="28"/>
      </w:rPr>
      <w:fldChar w:fldCharType="separate"/>
    </w:r>
    <w:r w:rsidR="00D57491">
      <w:rPr>
        <w:rStyle w:val="aa"/>
        <w:rFonts w:ascii="Times New Roman" w:hAnsi="Times New Roman" w:cs="Times New Roman"/>
        <w:noProof/>
        <w:sz w:val="28"/>
        <w:szCs w:val="28"/>
      </w:rPr>
      <w:t>8</w:t>
    </w:r>
    <w:r w:rsidR="00C95FC0" w:rsidRPr="00224580">
      <w:rPr>
        <w:rFonts w:ascii="Times New Roman" w:hAnsi="Times New Roman" w:cs="Times New Roman"/>
        <w:sz w:val="28"/>
        <w:szCs w:val="28"/>
      </w:rPr>
      <w:fldChar w:fldCharType="end"/>
    </w:r>
    <w:r w:rsidRPr="00224580">
      <w:rPr>
        <w:rStyle w:val="aa"/>
        <w:rFonts w:ascii="Times New Roman" w:hAnsi="Times New Roman" w:cs="Times New Roman"/>
        <w:sz w:val="28"/>
        <w:szCs w:val="28"/>
      </w:rPr>
      <w:t xml:space="preserve"> </w:t>
    </w:r>
    <w:r w:rsidRPr="00224580">
      <w:rPr>
        <w:rFonts w:ascii="Times New Roman" w:hAnsi="Times New Roman" w:cs="Times New Roman"/>
        <w:sz w:val="28"/>
        <w:szCs w:val="28"/>
      </w:rPr>
      <w:t>—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A73" w:rsidRDefault="00647A73">
      <w:r>
        <w:separator/>
      </w:r>
    </w:p>
  </w:footnote>
  <w:footnote w:type="continuationSeparator" w:id="1">
    <w:p w:rsidR="00647A73" w:rsidRDefault="00647A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66B24"/>
    <w:rsid w:val="00001BC9"/>
    <w:rsid w:val="000106AC"/>
    <w:rsid w:val="00016CD0"/>
    <w:rsid w:val="00020275"/>
    <w:rsid w:val="00024FEA"/>
    <w:rsid w:val="000318A1"/>
    <w:rsid w:val="0003242A"/>
    <w:rsid w:val="00040AF1"/>
    <w:rsid w:val="000612E5"/>
    <w:rsid w:val="000662DF"/>
    <w:rsid w:val="00087925"/>
    <w:rsid w:val="000967BB"/>
    <w:rsid w:val="000E34D8"/>
    <w:rsid w:val="000E74E4"/>
    <w:rsid w:val="000F0C7B"/>
    <w:rsid w:val="0010174B"/>
    <w:rsid w:val="001230E4"/>
    <w:rsid w:val="00143471"/>
    <w:rsid w:val="00145DAB"/>
    <w:rsid w:val="00153333"/>
    <w:rsid w:val="00162A17"/>
    <w:rsid w:val="001837F2"/>
    <w:rsid w:val="00186A94"/>
    <w:rsid w:val="00190556"/>
    <w:rsid w:val="001C1931"/>
    <w:rsid w:val="001E0EE9"/>
    <w:rsid w:val="001E1859"/>
    <w:rsid w:val="001F05EF"/>
    <w:rsid w:val="0020538C"/>
    <w:rsid w:val="0020696F"/>
    <w:rsid w:val="00224580"/>
    <w:rsid w:val="00242862"/>
    <w:rsid w:val="002436E8"/>
    <w:rsid w:val="00246178"/>
    <w:rsid w:val="002517D6"/>
    <w:rsid w:val="002532FC"/>
    <w:rsid w:val="00273D40"/>
    <w:rsid w:val="002C091B"/>
    <w:rsid w:val="002C4676"/>
    <w:rsid w:val="00300129"/>
    <w:rsid w:val="00312F98"/>
    <w:rsid w:val="0032505D"/>
    <w:rsid w:val="00335865"/>
    <w:rsid w:val="00351D01"/>
    <w:rsid w:val="00392B42"/>
    <w:rsid w:val="00396871"/>
    <w:rsid w:val="003B4B65"/>
    <w:rsid w:val="003B792F"/>
    <w:rsid w:val="003E4767"/>
    <w:rsid w:val="003F6097"/>
    <w:rsid w:val="004016D1"/>
    <w:rsid w:val="00411382"/>
    <w:rsid w:val="004121F6"/>
    <w:rsid w:val="00450E00"/>
    <w:rsid w:val="00474636"/>
    <w:rsid w:val="00486CCF"/>
    <w:rsid w:val="00487114"/>
    <w:rsid w:val="004908ED"/>
    <w:rsid w:val="00490CD8"/>
    <w:rsid w:val="00566B24"/>
    <w:rsid w:val="005A3693"/>
    <w:rsid w:val="005A698B"/>
    <w:rsid w:val="005C48DF"/>
    <w:rsid w:val="005F00A9"/>
    <w:rsid w:val="005F1D48"/>
    <w:rsid w:val="006148B7"/>
    <w:rsid w:val="00647A73"/>
    <w:rsid w:val="00651F79"/>
    <w:rsid w:val="00667BF0"/>
    <w:rsid w:val="00682C07"/>
    <w:rsid w:val="00683DC9"/>
    <w:rsid w:val="006A6D33"/>
    <w:rsid w:val="006C7DE0"/>
    <w:rsid w:val="006E4AD9"/>
    <w:rsid w:val="00710458"/>
    <w:rsid w:val="007239A0"/>
    <w:rsid w:val="00730E1B"/>
    <w:rsid w:val="00732B81"/>
    <w:rsid w:val="00744B2C"/>
    <w:rsid w:val="0076411F"/>
    <w:rsid w:val="00783833"/>
    <w:rsid w:val="007B4788"/>
    <w:rsid w:val="007D30AE"/>
    <w:rsid w:val="007D4619"/>
    <w:rsid w:val="007E7748"/>
    <w:rsid w:val="00813315"/>
    <w:rsid w:val="00815FAA"/>
    <w:rsid w:val="008237F3"/>
    <w:rsid w:val="00851301"/>
    <w:rsid w:val="00872E75"/>
    <w:rsid w:val="008B4BDC"/>
    <w:rsid w:val="008C2F59"/>
    <w:rsid w:val="008D498E"/>
    <w:rsid w:val="008D55D6"/>
    <w:rsid w:val="008D5E5D"/>
    <w:rsid w:val="008D7078"/>
    <w:rsid w:val="008E18D8"/>
    <w:rsid w:val="009539D9"/>
    <w:rsid w:val="009635FA"/>
    <w:rsid w:val="00992F38"/>
    <w:rsid w:val="00997120"/>
    <w:rsid w:val="009A6AD0"/>
    <w:rsid w:val="009B1DCC"/>
    <w:rsid w:val="009B4C94"/>
    <w:rsid w:val="009E2607"/>
    <w:rsid w:val="00A0411A"/>
    <w:rsid w:val="00A12C98"/>
    <w:rsid w:val="00A456B5"/>
    <w:rsid w:val="00A57E95"/>
    <w:rsid w:val="00AE05B6"/>
    <w:rsid w:val="00AE0C9C"/>
    <w:rsid w:val="00AE73C5"/>
    <w:rsid w:val="00B0099D"/>
    <w:rsid w:val="00B14C21"/>
    <w:rsid w:val="00B1654A"/>
    <w:rsid w:val="00B330F4"/>
    <w:rsid w:val="00B338A1"/>
    <w:rsid w:val="00B34916"/>
    <w:rsid w:val="00B52733"/>
    <w:rsid w:val="00B55D9C"/>
    <w:rsid w:val="00B80C8A"/>
    <w:rsid w:val="00B92D1E"/>
    <w:rsid w:val="00BA2359"/>
    <w:rsid w:val="00BA54DA"/>
    <w:rsid w:val="00BC2A9B"/>
    <w:rsid w:val="00BE0EE7"/>
    <w:rsid w:val="00BF54C6"/>
    <w:rsid w:val="00C2096C"/>
    <w:rsid w:val="00C34CB0"/>
    <w:rsid w:val="00C66699"/>
    <w:rsid w:val="00C75CEA"/>
    <w:rsid w:val="00C85443"/>
    <w:rsid w:val="00C86784"/>
    <w:rsid w:val="00C95FC0"/>
    <w:rsid w:val="00CC4785"/>
    <w:rsid w:val="00CC57BC"/>
    <w:rsid w:val="00CD2BCB"/>
    <w:rsid w:val="00CD73F5"/>
    <w:rsid w:val="00CF7010"/>
    <w:rsid w:val="00D01C7A"/>
    <w:rsid w:val="00D25518"/>
    <w:rsid w:val="00D45732"/>
    <w:rsid w:val="00D52AF4"/>
    <w:rsid w:val="00D57491"/>
    <w:rsid w:val="00D91251"/>
    <w:rsid w:val="00DA58D5"/>
    <w:rsid w:val="00DD54B1"/>
    <w:rsid w:val="00E00FC8"/>
    <w:rsid w:val="00E36D53"/>
    <w:rsid w:val="00E83DE1"/>
    <w:rsid w:val="00E92EF4"/>
    <w:rsid w:val="00E973AE"/>
    <w:rsid w:val="00EA533E"/>
    <w:rsid w:val="00EC6691"/>
    <w:rsid w:val="00EE2B12"/>
    <w:rsid w:val="00F1548E"/>
    <w:rsid w:val="00F16CB8"/>
    <w:rsid w:val="00F316B1"/>
    <w:rsid w:val="00F42732"/>
    <w:rsid w:val="00F70E5D"/>
    <w:rsid w:val="00F86A0E"/>
    <w:rsid w:val="00F912AC"/>
    <w:rsid w:val="00FD5B96"/>
    <w:rsid w:val="00FD5C2C"/>
    <w:rsid w:val="00FD5C69"/>
    <w:rsid w:val="00FD600C"/>
    <w:rsid w:val="00FF04B2"/>
    <w:rsid w:val="01624A87"/>
    <w:rsid w:val="0171481E"/>
    <w:rsid w:val="02170860"/>
    <w:rsid w:val="022D1DFA"/>
    <w:rsid w:val="026B087C"/>
    <w:rsid w:val="02A70B4E"/>
    <w:rsid w:val="04374EAF"/>
    <w:rsid w:val="043C5F30"/>
    <w:rsid w:val="04781C25"/>
    <w:rsid w:val="048D0AC8"/>
    <w:rsid w:val="054A0D17"/>
    <w:rsid w:val="05923D3F"/>
    <w:rsid w:val="064E2471"/>
    <w:rsid w:val="07802F69"/>
    <w:rsid w:val="078F567E"/>
    <w:rsid w:val="08B8470F"/>
    <w:rsid w:val="09A02E42"/>
    <w:rsid w:val="09A4346A"/>
    <w:rsid w:val="09E6321C"/>
    <w:rsid w:val="0A2A79EA"/>
    <w:rsid w:val="0A6E0684"/>
    <w:rsid w:val="0A7C1921"/>
    <w:rsid w:val="0B396168"/>
    <w:rsid w:val="0B8576C0"/>
    <w:rsid w:val="0BB81291"/>
    <w:rsid w:val="0BE50DEE"/>
    <w:rsid w:val="0C057576"/>
    <w:rsid w:val="0CF628D6"/>
    <w:rsid w:val="0F1D7099"/>
    <w:rsid w:val="0FCA1E55"/>
    <w:rsid w:val="101264A7"/>
    <w:rsid w:val="109D20E5"/>
    <w:rsid w:val="11CE7A7C"/>
    <w:rsid w:val="127D377A"/>
    <w:rsid w:val="131C09CD"/>
    <w:rsid w:val="13594899"/>
    <w:rsid w:val="13D7017F"/>
    <w:rsid w:val="152959C4"/>
    <w:rsid w:val="15446A1E"/>
    <w:rsid w:val="15495016"/>
    <w:rsid w:val="15554A48"/>
    <w:rsid w:val="159E3C08"/>
    <w:rsid w:val="15F518DE"/>
    <w:rsid w:val="16945603"/>
    <w:rsid w:val="16BE6CD6"/>
    <w:rsid w:val="16EC2F96"/>
    <w:rsid w:val="16EC4869"/>
    <w:rsid w:val="189B199A"/>
    <w:rsid w:val="18B93104"/>
    <w:rsid w:val="19756A5D"/>
    <w:rsid w:val="1A3B1152"/>
    <w:rsid w:val="1A8F0540"/>
    <w:rsid w:val="1B671C9B"/>
    <w:rsid w:val="1B6C2238"/>
    <w:rsid w:val="1C3B2FE8"/>
    <w:rsid w:val="1C4976B9"/>
    <w:rsid w:val="1CFD0840"/>
    <w:rsid w:val="1DD85D88"/>
    <w:rsid w:val="1DF120F7"/>
    <w:rsid w:val="1E616CA7"/>
    <w:rsid w:val="1E985466"/>
    <w:rsid w:val="1EEF3E5D"/>
    <w:rsid w:val="1FCE291B"/>
    <w:rsid w:val="203A5F59"/>
    <w:rsid w:val="21B23C5E"/>
    <w:rsid w:val="21F25C8E"/>
    <w:rsid w:val="222054A0"/>
    <w:rsid w:val="23B16878"/>
    <w:rsid w:val="23BA18FA"/>
    <w:rsid w:val="26630C52"/>
    <w:rsid w:val="27757B58"/>
    <w:rsid w:val="282961D2"/>
    <w:rsid w:val="29025606"/>
    <w:rsid w:val="29F937A4"/>
    <w:rsid w:val="2A024089"/>
    <w:rsid w:val="2A481022"/>
    <w:rsid w:val="2A7140B6"/>
    <w:rsid w:val="2BB72473"/>
    <w:rsid w:val="2D0B36D4"/>
    <w:rsid w:val="2EC043C8"/>
    <w:rsid w:val="2EF81056"/>
    <w:rsid w:val="2F114473"/>
    <w:rsid w:val="2F165326"/>
    <w:rsid w:val="2F2C5364"/>
    <w:rsid w:val="2F67162B"/>
    <w:rsid w:val="2FEF5B68"/>
    <w:rsid w:val="306F0EA1"/>
    <w:rsid w:val="30E746C2"/>
    <w:rsid w:val="31494409"/>
    <w:rsid w:val="316C65C6"/>
    <w:rsid w:val="31B430BB"/>
    <w:rsid w:val="31B66DEB"/>
    <w:rsid w:val="32086F2A"/>
    <w:rsid w:val="350F6363"/>
    <w:rsid w:val="35447B43"/>
    <w:rsid w:val="35D53D8B"/>
    <w:rsid w:val="366E4B5B"/>
    <w:rsid w:val="37330C8D"/>
    <w:rsid w:val="37D02D41"/>
    <w:rsid w:val="37F24E29"/>
    <w:rsid w:val="39B379CC"/>
    <w:rsid w:val="3A5F7F94"/>
    <w:rsid w:val="3ADA4323"/>
    <w:rsid w:val="3BB45F8A"/>
    <w:rsid w:val="3C2448A2"/>
    <w:rsid w:val="3CAE31B5"/>
    <w:rsid w:val="3CC1237B"/>
    <w:rsid w:val="3D820E9A"/>
    <w:rsid w:val="3E0C0541"/>
    <w:rsid w:val="3FA87C73"/>
    <w:rsid w:val="3FE27D11"/>
    <w:rsid w:val="4058609A"/>
    <w:rsid w:val="407C5BCB"/>
    <w:rsid w:val="4135086A"/>
    <w:rsid w:val="41416099"/>
    <w:rsid w:val="420E3DBE"/>
    <w:rsid w:val="424418AC"/>
    <w:rsid w:val="436752E0"/>
    <w:rsid w:val="43976112"/>
    <w:rsid w:val="43F51407"/>
    <w:rsid w:val="44E31FBA"/>
    <w:rsid w:val="475F74FA"/>
    <w:rsid w:val="478B2650"/>
    <w:rsid w:val="49E064F9"/>
    <w:rsid w:val="4A793601"/>
    <w:rsid w:val="4ACE5144"/>
    <w:rsid w:val="4AFE6C4E"/>
    <w:rsid w:val="4B2E5B97"/>
    <w:rsid w:val="4B7462B6"/>
    <w:rsid w:val="4BF511D7"/>
    <w:rsid w:val="4CA26882"/>
    <w:rsid w:val="4CCC7607"/>
    <w:rsid w:val="4D7D015D"/>
    <w:rsid w:val="4D9C134A"/>
    <w:rsid w:val="4E136951"/>
    <w:rsid w:val="4E821FF9"/>
    <w:rsid w:val="4F2C0591"/>
    <w:rsid w:val="4F6B243D"/>
    <w:rsid w:val="4FB754F2"/>
    <w:rsid w:val="5097316D"/>
    <w:rsid w:val="514E6F3F"/>
    <w:rsid w:val="517A3852"/>
    <w:rsid w:val="51CE5AF3"/>
    <w:rsid w:val="52FE2A3F"/>
    <w:rsid w:val="53081935"/>
    <w:rsid w:val="5325004E"/>
    <w:rsid w:val="5354264F"/>
    <w:rsid w:val="5513770E"/>
    <w:rsid w:val="55FA652F"/>
    <w:rsid w:val="57D4647F"/>
    <w:rsid w:val="58832ED6"/>
    <w:rsid w:val="5885103D"/>
    <w:rsid w:val="58D744DD"/>
    <w:rsid w:val="58DD12B4"/>
    <w:rsid w:val="58EA6EBE"/>
    <w:rsid w:val="58FF3032"/>
    <w:rsid w:val="591F1DF2"/>
    <w:rsid w:val="595874B6"/>
    <w:rsid w:val="5A28390B"/>
    <w:rsid w:val="5AE803B6"/>
    <w:rsid w:val="5AE93D9E"/>
    <w:rsid w:val="5BBE646D"/>
    <w:rsid w:val="5C1319D6"/>
    <w:rsid w:val="5C311369"/>
    <w:rsid w:val="5C457A10"/>
    <w:rsid w:val="5DCD663E"/>
    <w:rsid w:val="5F5B148A"/>
    <w:rsid w:val="5F5C0E4A"/>
    <w:rsid w:val="5F7231B1"/>
    <w:rsid w:val="5F863991"/>
    <w:rsid w:val="602034D2"/>
    <w:rsid w:val="61DB1F5B"/>
    <w:rsid w:val="634F3368"/>
    <w:rsid w:val="63A11A63"/>
    <w:rsid w:val="640537A2"/>
    <w:rsid w:val="657550CB"/>
    <w:rsid w:val="6582019D"/>
    <w:rsid w:val="6781381C"/>
    <w:rsid w:val="68A34950"/>
    <w:rsid w:val="697C061A"/>
    <w:rsid w:val="69C5349E"/>
    <w:rsid w:val="6A5B4FDA"/>
    <w:rsid w:val="6A6B535C"/>
    <w:rsid w:val="6AEE14D5"/>
    <w:rsid w:val="6BAA0188"/>
    <w:rsid w:val="6D0762B6"/>
    <w:rsid w:val="6DDC6246"/>
    <w:rsid w:val="6E0468D0"/>
    <w:rsid w:val="6E5B5B96"/>
    <w:rsid w:val="6E923A51"/>
    <w:rsid w:val="6E955B68"/>
    <w:rsid w:val="6F1A5120"/>
    <w:rsid w:val="6F7C2900"/>
    <w:rsid w:val="6FF871D8"/>
    <w:rsid w:val="713F6F2A"/>
    <w:rsid w:val="715A466B"/>
    <w:rsid w:val="723A0E67"/>
    <w:rsid w:val="728950A1"/>
    <w:rsid w:val="72BC61F1"/>
    <w:rsid w:val="72CF3A99"/>
    <w:rsid w:val="73143609"/>
    <w:rsid w:val="73A53B8C"/>
    <w:rsid w:val="73C12999"/>
    <w:rsid w:val="74D33A08"/>
    <w:rsid w:val="751912C0"/>
    <w:rsid w:val="75236C85"/>
    <w:rsid w:val="753243F3"/>
    <w:rsid w:val="7584601B"/>
    <w:rsid w:val="759E4E7F"/>
    <w:rsid w:val="75C36158"/>
    <w:rsid w:val="75F214A9"/>
    <w:rsid w:val="77BD6040"/>
    <w:rsid w:val="78B47E11"/>
    <w:rsid w:val="7A10090F"/>
    <w:rsid w:val="7B0B7B54"/>
    <w:rsid w:val="7B4836C4"/>
    <w:rsid w:val="7B81497B"/>
    <w:rsid w:val="7B8902B8"/>
    <w:rsid w:val="7BED0F0C"/>
    <w:rsid w:val="7C0837E8"/>
    <w:rsid w:val="7CC82943"/>
    <w:rsid w:val="7CD125ED"/>
    <w:rsid w:val="7D1462DC"/>
    <w:rsid w:val="7F242C7E"/>
    <w:rsid w:val="7F4319C8"/>
    <w:rsid w:val="7F807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Body Text Indent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7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3E4767"/>
    <w:pPr>
      <w:autoSpaceDE w:val="0"/>
      <w:autoSpaceDN w:val="0"/>
      <w:jc w:val="left"/>
    </w:pPr>
    <w:rPr>
      <w:rFonts w:ascii="方正仿宋_GBK" w:eastAsia="方正仿宋_GBK" w:hAnsi="方正仿宋_GBK" w:cs="方正仿宋_GBK"/>
      <w:kern w:val="0"/>
      <w:sz w:val="32"/>
      <w:szCs w:val="32"/>
      <w:lang w:val="zh-CN" w:bidi="zh-CN"/>
    </w:rPr>
  </w:style>
  <w:style w:type="paragraph" w:styleId="a4">
    <w:name w:val="Body Text Indent"/>
    <w:basedOn w:val="a"/>
    <w:uiPriority w:val="99"/>
    <w:semiHidden/>
    <w:unhideWhenUsed/>
    <w:qFormat/>
    <w:rsid w:val="003E4767"/>
    <w:pPr>
      <w:spacing w:after="120"/>
      <w:ind w:leftChars="200" w:left="420"/>
    </w:pPr>
  </w:style>
  <w:style w:type="paragraph" w:styleId="a5">
    <w:name w:val="Balloon Text"/>
    <w:basedOn w:val="a"/>
    <w:link w:val="Char"/>
    <w:uiPriority w:val="99"/>
    <w:semiHidden/>
    <w:unhideWhenUsed/>
    <w:qFormat/>
    <w:rsid w:val="003E4767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3E47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qFormat/>
    <w:rsid w:val="003E47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qFormat/>
    <w:rsid w:val="003E47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2">
    <w:name w:val="Body Text First Indent 2"/>
    <w:basedOn w:val="a4"/>
    <w:qFormat/>
    <w:rsid w:val="003E4767"/>
    <w:pPr>
      <w:spacing w:after="0" w:line="360" w:lineRule="auto"/>
      <w:ind w:leftChars="0" w:left="0" w:firstLineChars="200" w:firstLine="420"/>
    </w:pPr>
    <w:rPr>
      <w:rFonts w:ascii="宋体" w:eastAsia="宋体" w:hAnsi="宋体" w:cs="Times New Roman"/>
      <w:kern w:val="0"/>
      <w:sz w:val="20"/>
      <w:szCs w:val="20"/>
      <w:u w:color="000000"/>
    </w:rPr>
  </w:style>
  <w:style w:type="paragraph" w:styleId="a9">
    <w:name w:val="List Paragraph"/>
    <w:basedOn w:val="a"/>
    <w:uiPriority w:val="34"/>
    <w:qFormat/>
    <w:rsid w:val="003E4767"/>
    <w:pPr>
      <w:ind w:firstLineChars="200" w:firstLine="420"/>
    </w:pPr>
  </w:style>
  <w:style w:type="character" w:customStyle="1" w:styleId="Char1">
    <w:name w:val="页眉 Char"/>
    <w:basedOn w:val="a0"/>
    <w:link w:val="a7"/>
    <w:uiPriority w:val="99"/>
    <w:qFormat/>
    <w:rsid w:val="003E4767"/>
    <w:rPr>
      <w:sz w:val="18"/>
      <w:szCs w:val="18"/>
    </w:rPr>
  </w:style>
  <w:style w:type="character" w:customStyle="1" w:styleId="Char0">
    <w:name w:val="页脚 Char"/>
    <w:basedOn w:val="a0"/>
    <w:link w:val="a6"/>
    <w:qFormat/>
    <w:rsid w:val="003E476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qFormat/>
    <w:rsid w:val="003E4767"/>
    <w:rPr>
      <w:kern w:val="2"/>
      <w:sz w:val="18"/>
      <w:szCs w:val="18"/>
    </w:rPr>
  </w:style>
  <w:style w:type="character" w:styleId="aa">
    <w:name w:val="page number"/>
    <w:basedOn w:val="a0"/>
    <w:rsid w:val="002245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643</Words>
  <Characters>3668</Characters>
  <Application>Microsoft Office Word</Application>
  <DocSecurity>0</DocSecurity>
  <Lines>30</Lines>
  <Paragraphs>8</Paragraphs>
  <ScaleCrop>false</ScaleCrop>
  <Company>Microsoft</Company>
  <LinksUpToDate>false</LinksUpToDate>
  <CharactersWithSpaces>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凃彪</cp:lastModifiedBy>
  <cp:revision>9</cp:revision>
  <cp:lastPrinted>2021-09-22T03:32:00Z</cp:lastPrinted>
  <dcterms:created xsi:type="dcterms:W3CDTF">2021-09-22T03:40:00Z</dcterms:created>
  <dcterms:modified xsi:type="dcterms:W3CDTF">2021-09-27T01:20:00Z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0_embed</vt:lpwstr>
  </property>
</Properties>
</file>